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4D73A">
      <w:pPr>
        <w:pStyle w:val="25"/>
        <w:rPr>
          <w:rFonts w:hint="eastAsia"/>
        </w:rPr>
      </w:pPr>
      <w:r>
        <w:t xml:space="preserve">附件 1 </w:t>
      </w:r>
      <w:bookmarkStart w:id="0" w:name="_GoBack"/>
      <w:bookmarkEnd w:id="0"/>
    </w:p>
    <w:p w14:paraId="0731C037">
      <w:pPr>
        <w:pStyle w:val="16"/>
        <w:rPr>
          <w:rFonts w:hint="eastAsia"/>
        </w:rPr>
      </w:pPr>
      <w:r>
        <w:rPr>
          <w:rFonts w:hint="eastAsia"/>
        </w:rPr>
        <w:t>2026年高等教育科学研究课题申报</w:t>
      </w:r>
      <w:r>
        <w:t xml:space="preserve">指南  </w:t>
      </w:r>
    </w:p>
    <w:p w14:paraId="1AA7A013">
      <w:pPr>
        <w:pStyle w:val="2"/>
        <w:ind w:firstLine="640"/>
        <w:rPr>
          <w:rFonts w:hint="eastAsia"/>
        </w:rPr>
      </w:pPr>
    </w:p>
    <w:p w14:paraId="2BB4C52E">
      <w:pPr>
        <w:pStyle w:val="2"/>
        <w:ind w:firstLine="640"/>
        <w:rPr>
          <w:rFonts w:hint="eastAsia"/>
        </w:rPr>
      </w:pPr>
      <w:r>
        <w:t>（一）</w:t>
      </w:r>
      <w:r>
        <w:rPr>
          <w:rFonts w:hint="eastAsia"/>
        </w:rPr>
        <w:t>思政与立德树人</w:t>
      </w:r>
    </w:p>
    <w:p w14:paraId="50FD4C1A">
      <w:pPr>
        <w:pStyle w:val="11"/>
        <w:ind w:firstLine="616"/>
        <w:rPr>
          <w:color w:val="000000"/>
        </w:rPr>
      </w:pPr>
      <w:r>
        <w:rPr>
          <w:rFonts w:hint="eastAsia"/>
          <w:color w:val="000000"/>
        </w:rPr>
        <w:t>1.新发展阶段高校“大思政课”沉浸式教学模式创新研究；</w:t>
      </w:r>
    </w:p>
    <w:p w14:paraId="205D6BD9">
      <w:pPr>
        <w:pStyle w:val="11"/>
        <w:ind w:firstLine="616"/>
        <w:rPr>
          <w:color w:val="000000"/>
        </w:rPr>
      </w:pPr>
      <w:r>
        <w:rPr>
          <w:rFonts w:hint="eastAsia"/>
          <w:color w:val="000000"/>
        </w:rPr>
        <w:t>2.课程思政与专业教育深度融合的逻辑、路径与评价研究；</w:t>
      </w:r>
    </w:p>
    <w:p w14:paraId="3AFF149C">
      <w:pPr>
        <w:pStyle w:val="11"/>
        <w:ind w:firstLine="616"/>
        <w:rPr>
          <w:color w:val="000000"/>
        </w:rPr>
      </w:pPr>
      <w:r>
        <w:rPr>
          <w:rFonts w:hint="eastAsia"/>
          <w:color w:val="000000"/>
        </w:rPr>
        <w:t>3.数智时代高校美育、劳动教育与体育教学创新研究；</w:t>
      </w:r>
    </w:p>
    <w:p w14:paraId="66C68806">
      <w:pPr>
        <w:pStyle w:val="11"/>
        <w:ind w:firstLine="616"/>
        <w:rPr>
          <w:color w:val="000000"/>
        </w:rPr>
      </w:pPr>
      <w:r>
        <w:rPr>
          <w:rFonts w:hint="eastAsia"/>
          <w:color w:val="000000"/>
        </w:rPr>
        <w:t>4.AI时代高校辅导员队伍建设研究；</w:t>
      </w:r>
    </w:p>
    <w:p w14:paraId="695D48D6">
      <w:pPr>
        <w:pStyle w:val="11"/>
        <w:ind w:firstLine="616"/>
        <w:rPr>
          <w:color w:val="000000"/>
        </w:rPr>
      </w:pPr>
      <w:r>
        <w:rPr>
          <w:rFonts w:hint="eastAsia"/>
          <w:color w:val="000000"/>
        </w:rPr>
        <w:t>5.红色文化融入高校思想政治教育的长效机制研究；</w:t>
      </w:r>
    </w:p>
    <w:p w14:paraId="3AC020D8">
      <w:pPr>
        <w:pStyle w:val="11"/>
        <w:ind w:firstLine="616"/>
        <w:rPr>
          <w:color w:val="000000"/>
        </w:rPr>
      </w:pPr>
      <w:r>
        <w:rPr>
          <w:rFonts w:hint="eastAsia"/>
          <w:color w:val="000000"/>
        </w:rPr>
        <w:t>6.数字赋能下高校心理健康服务伦理困境、权责边界与制度完善研究；</w:t>
      </w:r>
    </w:p>
    <w:p w14:paraId="77B8D5E8">
      <w:pPr>
        <w:pStyle w:val="11"/>
        <w:ind w:firstLine="616"/>
        <w:rPr>
          <w:color w:val="000000"/>
        </w:rPr>
      </w:pPr>
      <w:r>
        <w:rPr>
          <w:rFonts w:hint="eastAsia"/>
          <w:color w:val="000000"/>
        </w:rPr>
        <w:t>7.生成式AI赋能高校精准心理育人的价值、风险与治理路径。</w:t>
      </w:r>
    </w:p>
    <w:p w14:paraId="08F32483">
      <w:pPr>
        <w:pStyle w:val="2"/>
        <w:ind w:firstLine="640"/>
        <w:rPr>
          <w:rFonts w:hint="eastAsia"/>
        </w:rPr>
      </w:pPr>
      <w:r>
        <w:t>（二）</w:t>
      </w:r>
      <w:r>
        <w:rPr>
          <w:rFonts w:hint="eastAsia"/>
        </w:rPr>
        <w:t>教育强省与学科专业</w:t>
      </w:r>
    </w:p>
    <w:p w14:paraId="72CC798C">
      <w:pPr>
        <w:pStyle w:val="11"/>
        <w:ind w:firstLine="616"/>
        <w:rPr>
          <w:color w:val="000000"/>
        </w:rPr>
      </w:pPr>
      <w:r>
        <w:rPr>
          <w:rFonts w:hint="eastAsia"/>
          <w:color w:val="000000"/>
        </w:rPr>
        <w:t>1.四川省属高校分类高质量发展路径研究；</w:t>
      </w:r>
    </w:p>
    <w:p w14:paraId="295FE666">
      <w:pPr>
        <w:pStyle w:val="11"/>
        <w:ind w:firstLine="616"/>
        <w:rPr>
          <w:color w:val="000000"/>
        </w:rPr>
      </w:pPr>
      <w:r>
        <w:rPr>
          <w:rFonts w:hint="eastAsia"/>
          <w:color w:val="000000"/>
        </w:rPr>
        <w:t>2.四川新一轮 “双一流” 建设提质升级研究；</w:t>
      </w:r>
    </w:p>
    <w:p w14:paraId="5F169851">
      <w:pPr>
        <w:pStyle w:val="11"/>
        <w:ind w:firstLine="616"/>
        <w:rPr>
          <w:color w:val="000000"/>
        </w:rPr>
      </w:pPr>
      <w:r>
        <w:rPr>
          <w:rFonts w:hint="eastAsia"/>
          <w:color w:val="000000"/>
        </w:rPr>
        <w:t>3.交叉学科门类设立背景下高校学科重构路径研究；</w:t>
      </w:r>
    </w:p>
    <w:p w14:paraId="00DE3D49">
      <w:pPr>
        <w:pStyle w:val="11"/>
        <w:ind w:firstLine="616"/>
        <w:rPr>
          <w:color w:val="000000"/>
        </w:rPr>
      </w:pPr>
      <w:r>
        <w:rPr>
          <w:rFonts w:hint="eastAsia"/>
          <w:color w:val="000000"/>
        </w:rPr>
        <w:t>4.智能时代未来学习中心创建模式研究；</w:t>
      </w:r>
    </w:p>
    <w:p w14:paraId="68E1D589">
      <w:pPr>
        <w:pStyle w:val="11"/>
        <w:ind w:firstLine="616"/>
        <w:rPr>
          <w:color w:val="000000"/>
        </w:rPr>
      </w:pPr>
      <w:r>
        <w:rPr>
          <w:rFonts w:hint="eastAsia"/>
          <w:color w:val="000000"/>
        </w:rPr>
        <w:t>5.四川民族地区高教特色发展与质量提升研究；</w:t>
      </w:r>
    </w:p>
    <w:p w14:paraId="3AC9D591">
      <w:pPr>
        <w:pStyle w:val="11"/>
        <w:ind w:firstLine="616"/>
        <w:rPr>
          <w:color w:val="000000"/>
        </w:rPr>
      </w:pPr>
      <w:r>
        <w:rPr>
          <w:rFonts w:hint="eastAsia"/>
          <w:color w:val="000000"/>
        </w:rPr>
        <w:t>6.新质生产力导向下 “四新” 学科专业集群建设路径研究；</w:t>
      </w:r>
    </w:p>
    <w:p w14:paraId="6C12F716">
      <w:pPr>
        <w:pStyle w:val="11"/>
        <w:ind w:firstLine="616"/>
        <w:rPr>
          <w:color w:val="000000"/>
        </w:rPr>
      </w:pPr>
      <w:r>
        <w:rPr>
          <w:rFonts w:hint="eastAsia"/>
          <w:color w:val="000000"/>
        </w:rPr>
        <w:t>7.未来技术学院建设与跨学科拔尖人才培养模式创新研究；</w:t>
      </w:r>
    </w:p>
    <w:p w14:paraId="2E9DF7E9">
      <w:pPr>
        <w:pStyle w:val="11"/>
        <w:ind w:firstLine="616"/>
        <w:rPr>
          <w:color w:val="000000"/>
        </w:rPr>
      </w:pPr>
      <w:r>
        <w:rPr>
          <w:rFonts w:hint="eastAsia"/>
          <w:color w:val="000000"/>
        </w:rPr>
        <w:t>8.新双高与职业本科 “中高本贯通” 培养体系构建研究；</w:t>
      </w:r>
    </w:p>
    <w:p w14:paraId="7D3C754A">
      <w:pPr>
        <w:pStyle w:val="11"/>
        <w:ind w:firstLine="616"/>
        <w:rPr>
          <w:color w:val="000000"/>
        </w:rPr>
      </w:pPr>
      <w:r>
        <w:rPr>
          <w:rFonts w:hint="eastAsia"/>
          <w:color w:val="000000"/>
        </w:rPr>
        <w:t>9.拔尖创新人才培养中跨学科课程体系设计与实践路径。</w:t>
      </w:r>
    </w:p>
    <w:p w14:paraId="136C9B4F">
      <w:pPr>
        <w:pStyle w:val="2"/>
        <w:ind w:firstLine="640"/>
        <w:rPr>
          <w:rFonts w:hint="eastAsia"/>
        </w:rPr>
      </w:pPr>
      <w:r>
        <w:t>（</w:t>
      </w:r>
      <w:r>
        <w:rPr>
          <w:rFonts w:hint="eastAsia"/>
        </w:rPr>
        <w:t>三</w:t>
      </w:r>
      <w:r>
        <w:t>）</w:t>
      </w:r>
      <w:r>
        <w:rPr>
          <w:rFonts w:hint="eastAsia"/>
        </w:rPr>
        <w:t>AI赋能与教育教学数字化</w:t>
      </w:r>
    </w:p>
    <w:p w14:paraId="488EF041">
      <w:pPr>
        <w:pStyle w:val="11"/>
        <w:ind w:firstLine="616"/>
        <w:rPr>
          <w:color w:val="000000"/>
        </w:rPr>
      </w:pPr>
      <w:r>
        <w:rPr>
          <w:rFonts w:hint="eastAsia"/>
          <w:color w:val="000000"/>
        </w:rPr>
        <w:t>1.生成式AI/大模型在高校教与学中创新应用研究；</w:t>
      </w:r>
    </w:p>
    <w:p w14:paraId="2EA3BD30">
      <w:pPr>
        <w:pStyle w:val="11"/>
        <w:ind w:firstLine="616"/>
        <w:rPr>
          <w:color w:val="000000"/>
        </w:rPr>
      </w:pPr>
      <w:r>
        <w:rPr>
          <w:rFonts w:hint="eastAsia"/>
          <w:color w:val="000000"/>
        </w:rPr>
        <w:t>2.高校智能化治理与数字校园建设成效评价研究；</w:t>
      </w:r>
    </w:p>
    <w:p w14:paraId="5A9DB087">
      <w:pPr>
        <w:pStyle w:val="11"/>
        <w:ind w:firstLine="616"/>
        <w:rPr>
          <w:color w:val="000000"/>
        </w:rPr>
      </w:pPr>
      <w:r>
        <w:rPr>
          <w:rFonts w:hint="eastAsia"/>
          <w:color w:val="000000"/>
        </w:rPr>
        <w:t>3.虚拟教研室与跨学科智慧学习环境构建研究；</w:t>
      </w:r>
    </w:p>
    <w:p w14:paraId="6E8A1FEE">
      <w:pPr>
        <w:pStyle w:val="11"/>
        <w:ind w:firstLine="616"/>
        <w:rPr>
          <w:color w:val="000000"/>
        </w:rPr>
      </w:pPr>
      <w:r>
        <w:rPr>
          <w:rFonts w:hint="eastAsia"/>
          <w:color w:val="000000"/>
        </w:rPr>
        <w:t>4.高校师生数字素养与数字安全研究；</w:t>
      </w:r>
    </w:p>
    <w:p w14:paraId="43F7D516">
      <w:pPr>
        <w:pStyle w:val="11"/>
        <w:ind w:firstLine="616"/>
        <w:rPr>
          <w:color w:val="000000"/>
        </w:rPr>
      </w:pPr>
      <w:r>
        <w:rPr>
          <w:rFonts w:hint="eastAsia"/>
          <w:color w:val="000000"/>
        </w:rPr>
        <w:t>5.大模型在高校科研创新与知识生产中的应用机制研究；</w:t>
      </w:r>
    </w:p>
    <w:p w14:paraId="15B68EED">
      <w:pPr>
        <w:pStyle w:val="11"/>
        <w:ind w:firstLine="616"/>
        <w:rPr>
          <w:color w:val="000000"/>
        </w:rPr>
      </w:pPr>
      <w:r>
        <w:rPr>
          <w:rFonts w:hint="eastAsia"/>
          <w:color w:val="000000"/>
        </w:rPr>
        <w:t>6.生成式AI介入高校学术活动的伦理风险与治理对策。</w:t>
      </w:r>
    </w:p>
    <w:p w14:paraId="1795DD16">
      <w:pPr>
        <w:pStyle w:val="2"/>
        <w:ind w:firstLine="640"/>
        <w:rPr>
          <w:rFonts w:hint="eastAsia"/>
        </w:rPr>
      </w:pPr>
      <w:r>
        <w:t>（</w:t>
      </w:r>
      <w:r>
        <w:rPr>
          <w:rFonts w:hint="eastAsia"/>
        </w:rPr>
        <w:t>四</w:t>
      </w:r>
      <w:r>
        <w:t>）</w:t>
      </w:r>
      <w:r>
        <w:rPr>
          <w:rFonts w:hint="eastAsia"/>
        </w:rPr>
        <w:t>产教融合与拔尖人才培养</w:t>
      </w:r>
    </w:p>
    <w:p w14:paraId="6B4F574D">
      <w:pPr>
        <w:pStyle w:val="11"/>
        <w:ind w:firstLine="616"/>
        <w:rPr>
          <w:color w:val="000000"/>
        </w:rPr>
      </w:pPr>
      <w:r>
        <w:rPr>
          <w:rFonts w:hint="eastAsia"/>
          <w:color w:val="000000"/>
        </w:rPr>
        <w:t>1.现代产业学院治理与产教深度协同育人机制研究；</w:t>
      </w:r>
    </w:p>
    <w:p w14:paraId="5DD51BA8">
      <w:pPr>
        <w:pStyle w:val="11"/>
        <w:ind w:firstLine="616"/>
        <w:rPr>
          <w:color w:val="000000"/>
        </w:rPr>
      </w:pPr>
      <w:r>
        <w:rPr>
          <w:rFonts w:hint="eastAsia"/>
          <w:color w:val="000000"/>
        </w:rPr>
        <w:t>2.卓越工程师自主培养模式创新研究；</w:t>
      </w:r>
    </w:p>
    <w:p w14:paraId="5392F171">
      <w:pPr>
        <w:pStyle w:val="11"/>
        <w:ind w:firstLine="616"/>
        <w:rPr>
          <w:color w:val="000000"/>
        </w:rPr>
      </w:pPr>
      <w:r>
        <w:rPr>
          <w:rFonts w:hint="eastAsia"/>
          <w:color w:val="000000"/>
        </w:rPr>
        <w:t>3</w:t>
      </w:r>
      <w:r>
        <w:rPr>
          <w:rFonts w:hint="eastAsia"/>
          <w:color w:val="000000"/>
          <w:spacing w:val="-1"/>
        </w:rPr>
        <w:t>.“四链融合</w:t>
      </w:r>
      <w:r>
        <w:rPr>
          <w:rFonts w:hint="eastAsia"/>
          <w:color w:val="000000"/>
          <w:spacing w:val="0"/>
        </w:rPr>
        <w:t>”</w:t>
      </w:r>
      <w:r>
        <w:rPr>
          <w:rFonts w:hint="eastAsia"/>
          <w:color w:val="000000"/>
          <w:spacing w:val="-1"/>
        </w:rPr>
        <w:t>（教育链、人</w:t>
      </w:r>
      <w:r>
        <w:rPr>
          <w:rFonts w:hint="eastAsia"/>
          <w:color w:val="000000"/>
          <w:spacing w:val="0"/>
        </w:rPr>
        <w:t>才</w:t>
      </w:r>
      <w:r>
        <w:rPr>
          <w:rFonts w:hint="eastAsia"/>
          <w:color w:val="000000"/>
          <w:spacing w:val="-1"/>
        </w:rPr>
        <w:t>链、产业链</w:t>
      </w:r>
      <w:r>
        <w:rPr>
          <w:rFonts w:hint="eastAsia"/>
          <w:color w:val="000000"/>
          <w:spacing w:val="0"/>
        </w:rPr>
        <w:t>、</w:t>
      </w:r>
      <w:r>
        <w:rPr>
          <w:rFonts w:hint="eastAsia"/>
          <w:color w:val="000000"/>
          <w:spacing w:val="-1"/>
        </w:rPr>
        <w:t>创新链）路</w:t>
      </w:r>
      <w:r>
        <w:rPr>
          <w:rFonts w:hint="eastAsia"/>
          <w:color w:val="000000"/>
        </w:rPr>
        <w:t>径研究；</w:t>
      </w:r>
    </w:p>
    <w:p w14:paraId="47456E17">
      <w:pPr>
        <w:pStyle w:val="11"/>
        <w:ind w:firstLine="616"/>
        <w:rPr>
          <w:color w:val="000000"/>
        </w:rPr>
      </w:pPr>
      <w:r>
        <w:rPr>
          <w:rFonts w:hint="eastAsia"/>
          <w:color w:val="000000"/>
        </w:rPr>
        <w:t>4.大中小一体化拔尖创新人才培养机制研究；</w:t>
      </w:r>
    </w:p>
    <w:p w14:paraId="4D9D53BA">
      <w:pPr>
        <w:pStyle w:val="11"/>
        <w:ind w:firstLine="616"/>
        <w:rPr>
          <w:color w:val="000000"/>
        </w:rPr>
      </w:pPr>
      <w:r>
        <w:rPr>
          <w:rFonts w:hint="eastAsia"/>
          <w:color w:val="000000"/>
        </w:rPr>
        <w:t>5.行业产教融合共同体、省市域产教联合体运行机制研究；</w:t>
      </w:r>
    </w:p>
    <w:p w14:paraId="27A1EB93">
      <w:pPr>
        <w:pStyle w:val="11"/>
        <w:ind w:firstLine="616"/>
        <w:rPr>
          <w:color w:val="000000"/>
        </w:rPr>
      </w:pPr>
      <w:r>
        <w:rPr>
          <w:rFonts w:hint="eastAsia"/>
          <w:color w:val="000000"/>
        </w:rPr>
        <w:t>6.企业深度参与治理、课程共建、实训基地共享的激励机制研究。</w:t>
      </w:r>
    </w:p>
    <w:p w14:paraId="09D73A8D">
      <w:pPr>
        <w:pStyle w:val="2"/>
        <w:ind w:firstLine="640"/>
        <w:rPr>
          <w:rFonts w:hint="eastAsia"/>
        </w:rPr>
      </w:pPr>
      <w:r>
        <w:t>（</w:t>
      </w:r>
      <w:r>
        <w:rPr>
          <w:rFonts w:hint="eastAsia"/>
        </w:rPr>
        <w:t>五</w:t>
      </w:r>
      <w:r>
        <w:t>）</w:t>
      </w:r>
      <w:r>
        <w:rPr>
          <w:rFonts w:hint="eastAsia"/>
        </w:rPr>
        <w:t>未来教师发展</w:t>
      </w:r>
    </w:p>
    <w:p w14:paraId="20EDE607">
      <w:pPr>
        <w:pStyle w:val="11"/>
        <w:ind w:firstLine="616"/>
        <w:rPr>
          <w:color w:val="000000"/>
        </w:rPr>
      </w:pPr>
      <w:r>
        <w:rPr>
          <w:rFonts w:hint="eastAsia"/>
          <w:color w:val="000000"/>
        </w:rPr>
        <w:t>1.科教融合视角下交叉学科高校教师培养机制创新研究；</w:t>
      </w:r>
    </w:p>
    <w:p w14:paraId="619E53DD">
      <w:pPr>
        <w:pStyle w:val="11"/>
        <w:ind w:firstLine="616"/>
        <w:rPr>
          <w:color w:val="000000"/>
        </w:rPr>
      </w:pPr>
      <w:r>
        <w:rPr>
          <w:rFonts w:hint="eastAsia"/>
          <w:color w:val="000000"/>
        </w:rPr>
        <w:t>2.高校教师数字素养诊断标准与支持环境研究；</w:t>
      </w:r>
    </w:p>
    <w:p w14:paraId="12041D67">
      <w:pPr>
        <w:pStyle w:val="11"/>
        <w:ind w:firstLine="616"/>
        <w:rPr>
          <w:color w:val="000000"/>
        </w:rPr>
      </w:pPr>
      <w:r>
        <w:rPr>
          <w:rFonts w:hint="eastAsia"/>
          <w:color w:val="000000"/>
        </w:rPr>
        <w:t>3.生成式AI背景下未来教师角色重构与职业素养研究；</w:t>
      </w:r>
    </w:p>
    <w:p w14:paraId="42E8C345">
      <w:pPr>
        <w:pStyle w:val="11"/>
        <w:ind w:firstLine="616"/>
        <w:rPr>
          <w:color w:val="000000"/>
        </w:rPr>
      </w:pPr>
      <w:r>
        <w:rPr>
          <w:rFonts w:hint="eastAsia"/>
          <w:color w:val="000000"/>
        </w:rPr>
        <w:t>4.职业院校“双师型”未来教师能力标准与培养路径；</w:t>
      </w:r>
    </w:p>
    <w:p w14:paraId="76981983">
      <w:pPr>
        <w:pStyle w:val="11"/>
        <w:ind w:firstLine="616"/>
        <w:rPr>
          <w:color w:val="000000"/>
        </w:rPr>
      </w:pPr>
      <w:r>
        <w:rPr>
          <w:rFonts w:hint="eastAsia"/>
          <w:color w:val="000000"/>
        </w:rPr>
        <w:t>5.民族地区高校教师数字素养精准帮扶策略研究；</w:t>
      </w:r>
    </w:p>
    <w:p w14:paraId="4417A290">
      <w:pPr>
        <w:pStyle w:val="11"/>
        <w:ind w:firstLine="616"/>
        <w:rPr>
          <w:color w:val="000000"/>
        </w:rPr>
      </w:pPr>
      <w:r>
        <w:rPr>
          <w:rFonts w:hint="eastAsia"/>
          <w:color w:val="000000"/>
        </w:rPr>
        <w:t>6.数字时代高校教师AI学术伦理认知现状与培育路径研究；</w:t>
      </w:r>
    </w:p>
    <w:p w14:paraId="59C43E69">
      <w:pPr>
        <w:pStyle w:val="11"/>
        <w:ind w:firstLine="616"/>
        <w:rPr>
          <w:color w:val="000000"/>
        </w:rPr>
      </w:pPr>
      <w:r>
        <w:rPr>
          <w:rFonts w:hint="eastAsia"/>
          <w:color w:val="000000"/>
        </w:rPr>
        <w:t>7.高水平教育开放背景下高校教师跨文化学术传播能力培育研究。</w:t>
      </w:r>
    </w:p>
    <w:p w14:paraId="589B22A7">
      <w:pPr>
        <w:pStyle w:val="2"/>
        <w:ind w:firstLine="640"/>
        <w:rPr>
          <w:rFonts w:hint="eastAsia"/>
        </w:rPr>
      </w:pPr>
      <w:r>
        <w:t>（</w:t>
      </w:r>
      <w:r>
        <w:rPr>
          <w:rFonts w:hint="eastAsia"/>
        </w:rPr>
        <w:t>六</w:t>
      </w:r>
      <w:r>
        <w:t>）</w:t>
      </w:r>
      <w:r>
        <w:rPr>
          <w:rFonts w:hint="eastAsia"/>
        </w:rPr>
        <w:t>高等教育高水平对外开放</w:t>
      </w:r>
    </w:p>
    <w:p w14:paraId="528D38B5">
      <w:pPr>
        <w:pStyle w:val="11"/>
        <w:ind w:firstLine="616"/>
        <w:rPr>
          <w:color w:val="000000"/>
        </w:rPr>
      </w:pPr>
      <w:r>
        <w:rPr>
          <w:rFonts w:hint="eastAsia"/>
          <w:color w:val="000000"/>
        </w:rPr>
        <w:t>1.四川高校中外合作办学高质量发展对策研究；</w:t>
      </w:r>
    </w:p>
    <w:p w14:paraId="0EC56201">
      <w:pPr>
        <w:pStyle w:val="11"/>
        <w:ind w:firstLine="616"/>
        <w:rPr>
          <w:color w:val="000000"/>
        </w:rPr>
      </w:pPr>
      <w:r>
        <w:rPr>
          <w:rFonts w:hint="eastAsia"/>
          <w:color w:val="000000"/>
        </w:rPr>
        <w:t>2.高校中外合作办学课程思政实施路径研究；</w:t>
      </w:r>
    </w:p>
    <w:p w14:paraId="454D8991">
      <w:pPr>
        <w:pStyle w:val="11"/>
        <w:ind w:firstLine="616"/>
        <w:rPr>
          <w:color w:val="000000"/>
        </w:rPr>
      </w:pPr>
      <w:r>
        <w:rPr>
          <w:rFonts w:hint="eastAsia"/>
          <w:color w:val="000000"/>
        </w:rPr>
        <w:t>3.地缘政治环境下高校国际科研合作风险防控机制研究；</w:t>
      </w:r>
    </w:p>
    <w:p w14:paraId="4AA36B46">
      <w:pPr>
        <w:pStyle w:val="11"/>
        <w:ind w:firstLine="616"/>
        <w:rPr>
          <w:color w:val="000000"/>
        </w:rPr>
      </w:pPr>
      <w:r>
        <w:rPr>
          <w:rFonts w:hint="eastAsia"/>
          <w:color w:val="000000"/>
        </w:rPr>
        <w:t>4.生成式AI赋能高校跨境联合教学的价值、风险与治理路径；</w:t>
      </w:r>
    </w:p>
    <w:p w14:paraId="7A572FF9">
      <w:pPr>
        <w:pStyle w:val="11"/>
        <w:ind w:firstLine="616"/>
        <w:rPr>
          <w:color w:val="000000"/>
        </w:rPr>
      </w:pPr>
      <w:r>
        <w:rPr>
          <w:rFonts w:hint="eastAsia"/>
          <w:color w:val="000000"/>
        </w:rPr>
        <w:t>5.德国双元制、瑞士学徒制、澳大利亚TAFE的三教融通经验与借鉴研究；</w:t>
      </w:r>
    </w:p>
    <w:p w14:paraId="7DD85199">
      <w:pPr>
        <w:pStyle w:val="11"/>
        <w:ind w:firstLine="616"/>
        <w:rPr>
          <w:color w:val="000000"/>
        </w:rPr>
      </w:pPr>
      <w:r>
        <w:rPr>
          <w:rFonts w:hint="eastAsia"/>
          <w:color w:val="000000"/>
        </w:rPr>
        <w:t>6.鲁班工坊可持续发展模式与中国职教标准国际化研究；</w:t>
      </w:r>
    </w:p>
    <w:p w14:paraId="6EBF5B62">
      <w:pPr>
        <w:pStyle w:val="11"/>
        <w:ind w:firstLine="616"/>
        <w:rPr>
          <w:color w:val="000000"/>
        </w:rPr>
      </w:pPr>
      <w:r>
        <w:rPr>
          <w:rFonts w:hint="eastAsia"/>
          <w:color w:val="000000"/>
        </w:rPr>
        <w:t>7.“一带一路”背景下跨境产教融合共同体建设路径研究；</w:t>
      </w:r>
    </w:p>
    <w:p w14:paraId="3E21A1BB">
      <w:pPr>
        <w:pStyle w:val="11"/>
        <w:ind w:firstLine="616"/>
        <w:rPr>
          <w:color w:val="000000"/>
        </w:rPr>
      </w:pPr>
      <w:r>
        <w:rPr>
          <w:rFonts w:hint="eastAsia"/>
          <w:color w:val="000000"/>
        </w:rPr>
        <w:t>8.数智赋能四川高校国际中文教育的现状、问题及对策；</w:t>
      </w:r>
    </w:p>
    <w:p w14:paraId="2B4668C3">
      <w:pPr>
        <w:pStyle w:val="11"/>
        <w:ind w:firstLine="616"/>
        <w:rPr>
          <w:color w:val="000000"/>
        </w:rPr>
      </w:pPr>
      <w:r>
        <w:rPr>
          <w:rFonts w:hint="eastAsia"/>
          <w:color w:val="000000"/>
        </w:rPr>
        <w:t>9.国际理解视域下大学生海外文化交流项目的成效评估与创新设计研究。</w:t>
      </w:r>
    </w:p>
    <w:p w14:paraId="472DD4E9">
      <w:pPr>
        <w:pStyle w:val="11"/>
        <w:ind w:firstLine="616"/>
        <w:rPr>
          <w:color w:val="000000"/>
        </w:rPr>
      </w:pPr>
    </w:p>
    <w:p w14:paraId="444DC0D7">
      <w:pPr>
        <w:pStyle w:val="11"/>
        <w:ind w:firstLine="616"/>
        <w:rPr>
          <w:color w:val="000000"/>
        </w:rPr>
      </w:pPr>
    </w:p>
    <w:p w14:paraId="75EBDBE8">
      <w:pPr>
        <w:pStyle w:val="11"/>
        <w:ind w:firstLine="616"/>
        <w:rPr>
          <w:color w:val="000000"/>
        </w:rPr>
      </w:pPr>
    </w:p>
    <w:p w14:paraId="74605162">
      <w:pPr>
        <w:pStyle w:val="11"/>
        <w:ind w:firstLine="616"/>
        <w:rPr>
          <w:color w:val="000000"/>
        </w:rPr>
      </w:pPr>
    </w:p>
    <w:p w14:paraId="2E1F116B">
      <w:pPr>
        <w:pStyle w:val="11"/>
        <w:ind w:firstLine="616"/>
        <w:rPr>
          <w:color w:val="000000"/>
        </w:rPr>
      </w:pPr>
    </w:p>
    <w:p w14:paraId="78EBF03D">
      <w:pPr>
        <w:pStyle w:val="11"/>
        <w:ind w:firstLine="616"/>
        <w:rPr>
          <w:color w:val="000000"/>
        </w:rPr>
      </w:pPr>
    </w:p>
    <w:p w14:paraId="656A20A5">
      <w:pPr>
        <w:pStyle w:val="11"/>
        <w:ind w:firstLine="616"/>
        <w:rPr>
          <w:rFonts w:hint="eastAsia"/>
          <w:color w:val="000000"/>
        </w:rPr>
      </w:pPr>
    </w:p>
    <w:p w14:paraId="5E3B22BA">
      <w:pPr>
        <w:pStyle w:val="25"/>
        <w:rPr>
          <w:rFonts w:hint="eastAsia"/>
        </w:rPr>
      </w:pPr>
    </w:p>
    <w:sectPr>
      <w:footerReference r:id="rId3" w:type="default"/>
      <w:footerReference r:id="rId4" w:type="even"/>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auto"/>
    <w:pitch w:val="default"/>
    <w:sig w:usb0="F7FFAEFF" w:usb1="F9DFFFFF" w:usb2="0000007F" w:usb3="00000000" w:csb0="203F01FF" w:csb1="DFFF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F2C7B">
    <w:pPr>
      <w:spacing w:line="121" w:lineRule="exact"/>
      <w:ind w:firstLine="46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C75F7">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UU+k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P1FPpMQIAAF8EAAAOAAAAAAAAAAEAIAAAACUBAABkcnMvZTJvRG9jLnht&#10;bFBLBQYAAAAABgAGAFkBAADIBQAAAAA=&#10;">
              <v:fill on="f" focussize="0,0"/>
              <v:stroke on="f" weight="0.5pt"/>
              <v:imagedata o:title=""/>
              <o:lock v:ext="edit" aspectratio="f"/>
              <v:textbox inset="16pt,0mm,16pt,0mm" style="mso-fit-shape-to-text:t;">
                <w:txbxContent>
                  <w:p w14:paraId="003C75F7">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4AEF1">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885A0">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B5N8eTMQIAAF8EAAAOAAAAAAAAAAEAIAAAACUBAABkcnMvZTJvRG9jLnht&#10;bFBLBQYAAAAABgAGAFkBAADIBQAAAAA=&#10;">
              <v:fill on="f" focussize="0,0"/>
              <v:stroke on="f" weight="0.5pt"/>
              <v:imagedata o:title=""/>
              <o:lock v:ext="edit" aspectratio="f"/>
              <v:textbox inset="16pt,0mm,16pt,0mm" style="mso-fit-shape-to-text:t;">
                <w:txbxContent>
                  <w:p w14:paraId="060885A0">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evenAndOddHeaders w:val="1"/>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662"/>
    <w:rsid w:val="000A4902"/>
    <w:rsid w:val="0012125D"/>
    <w:rsid w:val="003D2A96"/>
    <w:rsid w:val="00441725"/>
    <w:rsid w:val="006073CF"/>
    <w:rsid w:val="00647525"/>
    <w:rsid w:val="00807FDF"/>
    <w:rsid w:val="00817E89"/>
    <w:rsid w:val="00A843BE"/>
    <w:rsid w:val="00A95662"/>
    <w:rsid w:val="00B05A3E"/>
    <w:rsid w:val="00C406D4"/>
    <w:rsid w:val="00D66E03"/>
    <w:rsid w:val="00D83DE9"/>
    <w:rsid w:val="00E22753"/>
    <w:rsid w:val="029A41CB"/>
    <w:rsid w:val="0374413D"/>
    <w:rsid w:val="04385E7D"/>
    <w:rsid w:val="054528D2"/>
    <w:rsid w:val="05750484"/>
    <w:rsid w:val="0A273A2B"/>
    <w:rsid w:val="0B615698"/>
    <w:rsid w:val="0BB22A67"/>
    <w:rsid w:val="0EA24D8E"/>
    <w:rsid w:val="156839A2"/>
    <w:rsid w:val="1DFE8528"/>
    <w:rsid w:val="1F65503A"/>
    <w:rsid w:val="1FEE19A9"/>
    <w:rsid w:val="21CD6322"/>
    <w:rsid w:val="2B2F075F"/>
    <w:rsid w:val="2F2A42CF"/>
    <w:rsid w:val="2FBF98CA"/>
    <w:rsid w:val="35AC739A"/>
    <w:rsid w:val="35B44A00"/>
    <w:rsid w:val="37E97E23"/>
    <w:rsid w:val="3B1234FD"/>
    <w:rsid w:val="3B60760B"/>
    <w:rsid w:val="3F2D1C74"/>
    <w:rsid w:val="456015BA"/>
    <w:rsid w:val="4A635BBB"/>
    <w:rsid w:val="50C64592"/>
    <w:rsid w:val="53D50D4B"/>
    <w:rsid w:val="550B5D2F"/>
    <w:rsid w:val="5514218B"/>
    <w:rsid w:val="58B20FAF"/>
    <w:rsid w:val="5DF33693"/>
    <w:rsid w:val="5EF3265B"/>
    <w:rsid w:val="65D8274F"/>
    <w:rsid w:val="6CEF734A"/>
    <w:rsid w:val="6D7A1F88"/>
    <w:rsid w:val="6E0B0D16"/>
    <w:rsid w:val="6FDDB188"/>
    <w:rsid w:val="7171659E"/>
    <w:rsid w:val="77AE361A"/>
    <w:rsid w:val="78E42859"/>
    <w:rsid w:val="79B70DB1"/>
    <w:rsid w:val="7A237AF2"/>
    <w:rsid w:val="7D8F6A0F"/>
    <w:rsid w:val="7E503484"/>
    <w:rsid w:val="7F5ED2FF"/>
    <w:rsid w:val="7F5F1661"/>
    <w:rsid w:val="7FE42141"/>
    <w:rsid w:val="A5FF199D"/>
    <w:rsid w:val="BF6DA9B5"/>
    <w:rsid w:val="CF5BCFE1"/>
    <w:rsid w:val="EF659933"/>
    <w:rsid w:val="F4FF4733"/>
    <w:rsid w:val="FFDF8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link w:val="27"/>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28"/>
    <w:semiHidden/>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qFormat/>
    <w:uiPriority w:val="0"/>
    <w:pPr>
      <w:spacing w:line="720" w:lineRule="exact"/>
      <w:jc w:val="center"/>
    </w:pPr>
    <w:rPr>
      <w:rFonts w:ascii="方正小标宋_GBK" w:hAnsi="方正小标宋_GBK" w:eastAsia="方正小标宋_GBK" w:cs="方正小标宋_GBK"/>
      <w:sz w:val="44"/>
      <w:szCs w:val="44"/>
      <w:lang w:val="en-US" w:eastAsia="zh-CN" w:bidi="ar-SA"/>
    </w:r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00FF"/>
      <w:u w:val="single"/>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Arial" w:hAnsi="Arial" w:eastAsia="Arial" w:cs="Arial"/>
      <w:szCs w:val="21"/>
      <w:lang w:eastAsia="en-US"/>
    </w:rPr>
  </w:style>
  <w:style w:type="paragraph" w:customStyle="1" w:styleId="24">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paragraph" w:customStyle="1" w:styleId="25">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customStyle="1" w:styleId="26">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character" w:customStyle="1" w:styleId="27">
    <w:name w:val="标题 1 字符"/>
    <w:link w:val="2"/>
    <w:qFormat/>
    <w:uiPriority w:val="0"/>
    <w:rPr>
      <w:rFonts w:ascii="黑体" w:hAnsi="黑体" w:eastAsia="黑体" w:cs="黑体"/>
      <w:kern w:val="44"/>
      <w:sz w:val="32"/>
      <w:szCs w:val="32"/>
    </w:rPr>
  </w:style>
  <w:style w:type="character" w:customStyle="1" w:styleId="28">
    <w:name w:val="标题 2 字符"/>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SWJTU</Company>
  <Pages>3</Pages>
  <Words>1853</Words>
  <Characters>1924</Characters>
  <Lines>171</Lines>
  <Paragraphs>91</Paragraphs>
  <TotalTime>24</TotalTime>
  <ScaleCrop>false</ScaleCrop>
  <LinksUpToDate>false</LinksUpToDate>
  <CharactersWithSpaces>1934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2026-05-11T12:55:00Z</dcterms:created>
  <dc:creator>31737</dc:creator>
  <cp:lastModifiedBy>WPS_1719996038</cp:lastModifiedBy>
  <dcterms:modified xsi:type="dcterms:W3CDTF">2026-07-20T12:58:54Z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eyJoZGlkIjoiYzhhMzI1OTUzODJhYzY5MWI3YmQ0ZmE1ZDkwMjhhNTkiLCJ1c2VySWQiOiIxNjExNzcxOTM3In0=</vt:lpwstr>
  </property>
  <property fmtid="{D5CDD505-2E9C-101B-9397-08002B2CF9AE}" pid="4" name="ICV">
    <vt:lpwstr>DD8390BCA2ED4048B4536EA5D2D3AC83_13</vt:lpwstr>
  </property>
</Properties>
</file>