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89736">
      <w:pPr>
        <w:pStyle w:val="2"/>
        <w:snapToGrid w:val="0"/>
        <w:spacing w:before="0" w:after="0" w:line="240" w:lineRule="auto"/>
        <w:ind w:firstLine="0" w:firstLineChars="0"/>
        <w:jc w:val="center"/>
        <w:rPr>
          <w:rFonts w:ascii="方正小标宋_GBK" w:hAnsi="方正小标宋_GBK" w:eastAsia="方正小标宋_GBK" w:cs="方正小标宋_GBK"/>
          <w:b w:val="0"/>
          <w:bCs w:val="0"/>
          <w:sz w:val="44"/>
        </w:rPr>
      </w:pPr>
      <w:bookmarkStart w:id="0" w:name="_Toc322717833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西南交通大学建筑学院</w:t>
      </w:r>
    </w:p>
    <w:p w14:paraId="6D3DCA95">
      <w:pPr>
        <w:pStyle w:val="2"/>
        <w:snapToGrid w:val="0"/>
        <w:spacing w:before="0" w:after="0" w:line="240" w:lineRule="auto"/>
        <w:ind w:firstLine="0" w:firstLineChars="0"/>
        <w:jc w:val="center"/>
        <w:rPr>
          <w:rFonts w:ascii="方正小标宋_GBK" w:hAnsi="方正小标宋_GBK" w:eastAsia="方正小标宋_GBK" w:cs="方正小标宋_GBK"/>
          <w:b w:val="0"/>
          <w:bCs w:val="0"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年本科生转专业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实施细则</w:t>
      </w:r>
    </w:p>
    <w:p w14:paraId="4AB71E8C">
      <w:pPr>
        <w:spacing w:after="0"/>
        <w:ind w:left="0" w:leftChars="0" w:firstLine="0" w:firstLineChars="0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6E1BACC2">
      <w:pPr>
        <w:spacing w:before="0" w:after="0"/>
        <w:ind w:firstLine="640"/>
        <w:jc w:val="both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教育部《普通高等学校学生管理规定》《西南交通大学本科生学籍管理规定》《西南交通大学本科生转专业管理办法》（西交校教〔2019〕126号）等文件，为进一步规范本科生转专业管理工作，便于学生合理安排学习计划，结合学院本科教学运行实际情况，特制定修订本实施细则。</w:t>
      </w:r>
    </w:p>
    <w:p w14:paraId="36BF8EC1">
      <w:pPr>
        <w:spacing w:before="0" w:after="0"/>
        <w:ind w:firstLine="482" w:firstLineChars="150"/>
        <w:jc w:val="both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 建筑学院成立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年本科生转专业工作领导小组。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小组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成员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如下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 w14:paraId="6DD45AC0">
      <w:pPr>
        <w:spacing w:before="0" w:after="0"/>
        <w:ind w:left="480" w:leftChars="200" w:firstLine="0" w:firstLineChars="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    长：胡  伟</w:t>
      </w:r>
    </w:p>
    <w:p w14:paraId="5384D5D1">
      <w:pPr>
        <w:spacing w:before="0" w:after="0"/>
        <w:ind w:left="2080" w:leftChars="200" w:hanging="1600" w:hangingChars="5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    员：杨青娟、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崔  叙、</w:t>
      </w:r>
      <w:r>
        <w:rPr>
          <w:rFonts w:hint="eastAsia" w:ascii="仿宋_GB2312" w:hAnsi="仿宋_GB2312" w:eastAsia="仿宋_GB2312" w:cs="仿宋_GB2312"/>
          <w:sz w:val="32"/>
          <w:szCs w:val="32"/>
        </w:rPr>
        <w:t>刘一杰、付  飞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</w:p>
    <w:p w14:paraId="45E9701B">
      <w:pPr>
        <w:spacing w:before="0" w:after="0"/>
        <w:ind w:left="2076" w:leftChars="865"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张樱子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毕凌岚、傅  娅、舒兴川、</w:t>
      </w:r>
    </w:p>
    <w:p w14:paraId="5419455A">
      <w:pPr>
        <w:spacing w:before="0" w:after="0"/>
        <w:ind w:left="2076" w:leftChars="865" w:firstLine="320" w:firstLineChars="1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  野</w:t>
      </w:r>
    </w:p>
    <w:p w14:paraId="688663DC">
      <w:pPr>
        <w:spacing w:before="0" w:after="0"/>
        <w:ind w:left="480" w:leftChars="20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分专业秘书：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罗雨天</w:t>
      </w:r>
    </w:p>
    <w:p w14:paraId="06B1EAC8">
      <w:pPr>
        <w:spacing w:before="0" w:after="0"/>
        <w:ind w:left="480" w:leftChars="200" w:firstLine="0" w:firstLineChars="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转专业秘书：伍  雁</w:t>
      </w:r>
    </w:p>
    <w:p w14:paraId="7288B7CC">
      <w:pPr>
        <w:spacing w:before="0" w:after="0"/>
        <w:ind w:firstLine="482" w:firstLineChars="150"/>
        <w:jc w:val="both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 学院大类分专业实施细则</w:t>
      </w:r>
    </w:p>
    <w:p w14:paraId="01FFEF58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（1）建筑学院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级本科生大类分专业原则上尊重学生意愿、结合专业建设的实际需求、实际办学条件和社会发展的客观需要确定各专业分专业规模，每个学生填报大类下的专业志愿。</w:t>
      </w:r>
    </w:p>
    <w:p w14:paraId="528DBB8A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（2）建筑类专业（大类招生）分流方向为城乡规划专业、风景园林专业，上述两专业接收规模根据当年具体情况计算（详见表1）。</w:t>
      </w:r>
    </w:p>
    <w:p w14:paraId="22607C4C">
      <w:pPr>
        <w:spacing w:before="0" w:after="0"/>
        <w:ind w:firstLine="0" w:firstLineChars="0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表1：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2026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年城乡规划专业、风景园林专业接收规模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</w:tblGrid>
      <w:tr w14:paraId="7FB3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</w:tcPr>
          <w:p w14:paraId="6A8D2DF3">
            <w:pPr>
              <w:spacing w:before="0" w:after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分流总人数</w:t>
            </w:r>
          </w:p>
        </w:tc>
        <w:tc>
          <w:tcPr>
            <w:tcW w:w="2074" w:type="dxa"/>
          </w:tcPr>
          <w:p w14:paraId="4528A1E9">
            <w:pPr>
              <w:spacing w:before="0" w:after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城乡规划</w:t>
            </w:r>
          </w:p>
        </w:tc>
        <w:tc>
          <w:tcPr>
            <w:tcW w:w="2074" w:type="dxa"/>
          </w:tcPr>
          <w:p w14:paraId="42D8514B">
            <w:pPr>
              <w:spacing w:before="0" w:after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风景园林</w:t>
            </w:r>
          </w:p>
        </w:tc>
      </w:tr>
      <w:tr w14:paraId="3A38C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</w:tcPr>
          <w:p w14:paraId="2585CA2A">
            <w:pPr>
              <w:spacing w:before="0" w:after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2074" w:type="dxa"/>
          </w:tcPr>
          <w:p w14:paraId="18A97DCF">
            <w:pPr>
              <w:spacing w:before="0" w:after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2074" w:type="dxa"/>
          </w:tcPr>
          <w:p w14:paraId="394C2BCA">
            <w:pPr>
              <w:spacing w:before="0" w:after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35</w:t>
            </w:r>
          </w:p>
        </w:tc>
      </w:tr>
    </w:tbl>
    <w:p w14:paraId="2FAC8DF2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09CE575B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建筑类专业（大类招生）分流原则参考第一学期全部必修课程成绩（含专业基础课程权重）等确定学生专业选择的优先序列。专业选择以各专业规模上限为控制标准，学生第一志愿专业达到上限则按第二志愿进行专业分配。具体专业选择的优先序列如下：</w:t>
      </w:r>
    </w:p>
    <w:p w14:paraId="4BF9FAC0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本科生院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年度转入建筑学院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级城乡规划、风景园林专业学生，按公示结果进行专业分配；</w:t>
      </w:r>
    </w:p>
    <w:p w14:paraId="50157689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2.专业选择排序按照第一学期全部必修课程成绩（其中建筑设计基础Ⅰ、</w:t>
      </w:r>
      <w:r>
        <w:rPr>
          <w:rFonts w:hint="eastAsia" w:eastAsia="仿宋_GB2312" w:cs="Calibri"/>
          <w:sz w:val="32"/>
          <w:szCs w:val="32"/>
        </w:rPr>
        <w:t>微积分初步</w:t>
      </w:r>
      <w:r>
        <w:rPr>
          <w:rFonts w:hint="eastAsia" w:ascii="仿宋_GB2312" w:hAnsi="仿宋_GB2312" w:eastAsia="仿宋_GB2312" w:cs="仿宋_GB2312"/>
          <w:sz w:val="32"/>
          <w:szCs w:val="32"/>
        </w:rPr>
        <w:t>、美术三门专业基础课程包含权重）排序的先后顺序选择；</w:t>
      </w:r>
    </w:p>
    <w:p w14:paraId="627136FD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3.成绩相同的学生，则辅助参考第一学期专业基础课程：建筑设计基础Ⅰ、微积分初步、美术的三门课程的总成绩，总成绩好者优先。</w:t>
      </w:r>
    </w:p>
    <w:p w14:paraId="2C578438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347818EF">
      <w:pPr>
        <w:spacing w:before="0" w:after="0"/>
        <w:ind w:firstLine="643"/>
        <w:jc w:val="both"/>
        <w:rPr>
          <w:rFonts w:ascii="黑体" w:hAnsi="黑体" w:eastAsia="黑体" w:cs="黑体"/>
          <w:b/>
          <w:bCs/>
          <w:sz w:val="32"/>
          <w:szCs w:val="32"/>
        </w:rPr>
      </w:pPr>
    </w:p>
    <w:p w14:paraId="7E615253">
      <w:pPr>
        <w:spacing w:before="0" w:after="0"/>
        <w:ind w:firstLine="643"/>
        <w:jc w:val="both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 转专业实施细则</w:t>
      </w:r>
    </w:p>
    <w:p w14:paraId="76A0419F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（1）建筑学院每年按照学校转专业要求及时间节点开展，学生申请转专业须符合以下条件：</w:t>
      </w:r>
    </w:p>
    <w:p w14:paraId="7D025A2F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1.申请转入的学生须完全符合学校现行转专业相关规定和要求，且本次转专业为本科期间首次申请；</w:t>
      </w:r>
    </w:p>
    <w:p w14:paraId="5E4AACCA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2.拟转专业学生在原专业学习学业良好，身心健康；</w:t>
      </w:r>
    </w:p>
    <w:p w14:paraId="71D3BAFD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3.拟转专业学生具有较好的拟转入专业培养潜质，并能提供相关材料证明个人潜质。</w:t>
      </w:r>
    </w:p>
    <w:p w14:paraId="62B9748B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（2）建筑类专业转专业说明：</w:t>
      </w:r>
    </w:p>
    <w:p w14:paraId="7FB8E36A">
      <w:pPr>
        <w:spacing w:before="0" w:after="0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根据专业发展和人才教育的新趋势，建筑学、城乡规划、风景园林均面向全校同一招生类别的专业接收转专业申请。外院系学生转入后将平级编入普通班学习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4" w:name="_GoBack"/>
      <w:bookmarkEnd w:id="4"/>
    </w:p>
    <w:p w14:paraId="72F9616D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（3）转专业计划录取名额</w:t>
      </w:r>
    </w:p>
    <w:p w14:paraId="641B7F9E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1.为适应未来社会对高素质人才的需求，促进跨专业人才培养，按照学校规定和教学容量，根据专业类别总体设置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年度转专业录取名</w:t>
      </w:r>
      <w:r>
        <w:rPr>
          <w:rFonts w:ascii="仿宋_GB2312" w:hAnsi="仿宋_GB2312" w:eastAsia="仿宋_GB2312" w:cs="仿宋_GB2312"/>
          <w:sz w:val="32"/>
          <w:szCs w:val="32"/>
        </w:rPr>
        <w:t>额：</w:t>
      </w:r>
    </w:p>
    <w:p w14:paraId="0DFBB555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级不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超过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10人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级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不超过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10人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（同一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年级不同专业之间如未录取满额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可以调剂指标）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0C6824B2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  <w:highlight w:val="yellow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4"/>
        <w:gridCol w:w="3471"/>
      </w:tblGrid>
      <w:tr w14:paraId="2DF2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4" w:type="dxa"/>
            <w:vAlign w:val="center"/>
          </w:tcPr>
          <w:p w14:paraId="12547797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转入专业</w:t>
            </w:r>
          </w:p>
        </w:tc>
        <w:tc>
          <w:tcPr>
            <w:tcW w:w="3471" w:type="dxa"/>
            <w:vAlign w:val="center"/>
          </w:tcPr>
          <w:p w14:paraId="4D7C94CD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录取人数</w:t>
            </w:r>
          </w:p>
        </w:tc>
      </w:tr>
      <w:tr w14:paraId="3D85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4" w:type="dxa"/>
            <w:vAlign w:val="center"/>
          </w:tcPr>
          <w:p w14:paraId="39684F10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级建筑学</w:t>
            </w:r>
          </w:p>
        </w:tc>
        <w:tc>
          <w:tcPr>
            <w:tcW w:w="3471" w:type="dxa"/>
            <w:vAlign w:val="center"/>
          </w:tcPr>
          <w:p w14:paraId="71ADF007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人</w:t>
            </w:r>
          </w:p>
        </w:tc>
      </w:tr>
      <w:tr w14:paraId="7284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4" w:type="dxa"/>
            <w:vAlign w:val="center"/>
          </w:tcPr>
          <w:p w14:paraId="545E59A3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级城乡规划</w:t>
            </w:r>
          </w:p>
        </w:tc>
        <w:tc>
          <w:tcPr>
            <w:tcW w:w="3471" w:type="dxa"/>
            <w:vAlign w:val="center"/>
          </w:tcPr>
          <w:p w14:paraId="42A19203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人</w:t>
            </w:r>
          </w:p>
        </w:tc>
      </w:tr>
      <w:tr w14:paraId="275F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4" w:type="dxa"/>
            <w:vAlign w:val="center"/>
          </w:tcPr>
          <w:p w14:paraId="72D83CB3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级风景园林</w:t>
            </w:r>
          </w:p>
        </w:tc>
        <w:tc>
          <w:tcPr>
            <w:tcW w:w="3471" w:type="dxa"/>
            <w:vAlign w:val="center"/>
          </w:tcPr>
          <w:p w14:paraId="6C9D9CD4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人</w:t>
            </w:r>
          </w:p>
        </w:tc>
      </w:tr>
      <w:tr w14:paraId="05F9E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4" w:type="dxa"/>
            <w:vAlign w:val="center"/>
          </w:tcPr>
          <w:p w14:paraId="2007B31A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级建筑学</w:t>
            </w:r>
          </w:p>
        </w:tc>
        <w:tc>
          <w:tcPr>
            <w:tcW w:w="3471" w:type="dxa"/>
            <w:vAlign w:val="center"/>
          </w:tcPr>
          <w:p w14:paraId="626EB905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人</w:t>
            </w:r>
          </w:p>
        </w:tc>
      </w:tr>
      <w:tr w14:paraId="6053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4" w:type="dxa"/>
            <w:vAlign w:val="center"/>
          </w:tcPr>
          <w:p w14:paraId="5FA7AF22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级城乡规划</w:t>
            </w:r>
          </w:p>
        </w:tc>
        <w:tc>
          <w:tcPr>
            <w:tcW w:w="3471" w:type="dxa"/>
            <w:vAlign w:val="center"/>
          </w:tcPr>
          <w:p w14:paraId="3EF6A6FC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eastAsia="zh-CN"/>
              </w:rPr>
              <w:t>人</w:t>
            </w:r>
          </w:p>
        </w:tc>
      </w:tr>
      <w:tr w14:paraId="3221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54" w:type="dxa"/>
            <w:vAlign w:val="center"/>
          </w:tcPr>
          <w:p w14:paraId="0BE06902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级风景园林</w:t>
            </w:r>
          </w:p>
        </w:tc>
        <w:tc>
          <w:tcPr>
            <w:tcW w:w="3471" w:type="dxa"/>
            <w:vAlign w:val="center"/>
          </w:tcPr>
          <w:p w14:paraId="3B292E1F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人</w:t>
            </w:r>
          </w:p>
        </w:tc>
      </w:tr>
    </w:tbl>
    <w:p w14:paraId="0DA80ED4">
      <w:pPr>
        <w:spacing w:before="0" w:after="0"/>
        <w:ind w:firstLine="640"/>
        <w:rPr>
          <w:rFonts w:hint="default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</w:pPr>
    </w:p>
    <w:p w14:paraId="4560DDBF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.参军入伍申请转专业不计入录取总名额</w:t>
      </w:r>
    </w:p>
    <w:p w14:paraId="3027B710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（4）转专业准入课程明细</w:t>
      </w:r>
    </w:p>
    <w:tbl>
      <w:tblPr>
        <w:tblStyle w:val="11"/>
        <w:tblW w:w="8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843"/>
        <w:gridCol w:w="2414"/>
        <w:gridCol w:w="2405"/>
      </w:tblGrid>
      <w:tr w14:paraId="3EB4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B002">
            <w:pPr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B3CB4">
            <w:pPr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4A886">
            <w:pPr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准入课程名称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DC11">
            <w:pPr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课程学分</w:t>
            </w:r>
          </w:p>
        </w:tc>
      </w:tr>
      <w:tr w14:paraId="07DE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248E6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建筑</w:t>
            </w:r>
          </w:p>
          <w:p w14:paraId="49035C9F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学院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51B07">
            <w:pPr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建筑学、城乡规划、风景园林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A9829">
            <w:pPr>
              <w:adjustRightInd w:val="0"/>
              <w:snapToGrid w:val="0"/>
              <w:spacing w:before="0" w:after="0" w:line="240" w:lineRule="auto"/>
              <w:ind w:firstLine="0" w:firstLineChars="0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英语Ⅰ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C34B6">
            <w:pPr>
              <w:adjustRightInd w:val="0"/>
              <w:snapToGrid w:val="0"/>
              <w:spacing w:before="0" w:after="0" w:line="240" w:lineRule="auto"/>
              <w:ind w:firstLine="0" w:firstLineChars="0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2学分</w:t>
            </w:r>
          </w:p>
        </w:tc>
      </w:tr>
      <w:tr w14:paraId="5B48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B2770">
            <w:pPr>
              <w:adjustRightInd w:val="0"/>
              <w:snapToGrid w:val="0"/>
              <w:spacing w:before="0" w:after="0" w:line="240" w:lineRule="auto"/>
              <w:ind w:firstLine="56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4B7CD">
            <w:pPr>
              <w:adjustRightInd w:val="0"/>
              <w:snapToGrid w:val="0"/>
              <w:spacing w:before="0" w:after="0" w:line="240" w:lineRule="auto"/>
              <w:ind w:firstLine="56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BEB38">
            <w:pPr>
              <w:adjustRightInd w:val="0"/>
              <w:snapToGrid w:val="0"/>
              <w:spacing w:before="0" w:after="0" w:line="240" w:lineRule="auto"/>
              <w:ind w:firstLine="0" w:firstLineChars="0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微积分初步或原专业相应的数学类必修课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BA294">
            <w:pPr>
              <w:adjustRightInd w:val="0"/>
              <w:snapToGrid w:val="0"/>
              <w:spacing w:before="0" w:after="0" w:line="240" w:lineRule="auto"/>
              <w:ind w:firstLine="0" w:firstLineChars="0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3学分或原专业相应的数学类必修课学分</w:t>
            </w:r>
          </w:p>
        </w:tc>
      </w:tr>
    </w:tbl>
    <w:p w14:paraId="153D71E8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bookmarkStart w:id="1" w:name="_Toc444615521"/>
      <w:bookmarkStart w:id="2" w:name="_Toc444848915"/>
      <w:bookmarkStart w:id="3" w:name="_Toc444871911"/>
      <w:r>
        <w:rPr>
          <w:rFonts w:hint="eastAsia" w:ascii="仿宋_GB2312" w:hAnsi="仿宋_GB2312" w:eastAsia="仿宋_GB2312" w:cs="仿宋_GB2312"/>
          <w:sz w:val="32"/>
          <w:szCs w:val="32"/>
        </w:rPr>
        <w:t>（5）转专业考核实施办法</w:t>
      </w:r>
      <w:bookmarkEnd w:id="1"/>
      <w:bookmarkEnd w:id="2"/>
      <w:bookmarkEnd w:id="3"/>
    </w:p>
    <w:p w14:paraId="7147941D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1.建筑类专业转专业分为笔试和面试两个部分，两部分成绩按各占50%计算最终录取成绩，按成绩高低排序录取。</w:t>
      </w:r>
    </w:p>
    <w:p w14:paraId="620A1DA3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笔试部分：重点考核美术基础与艺术素养条件，测试学生对景物的观察、表达与构图能力等； </w:t>
      </w:r>
    </w:p>
    <w:p w14:paraId="391FCEDB">
      <w:pPr>
        <w:spacing w:before="0" w:after="0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专业综合面试：重点考查学生的综合素养、专业发展的潜质与条件、考核学生对专业的了解和认知、既有专业学习基础等。</w:t>
      </w:r>
    </w:p>
    <w:p w14:paraId="144F7CD4">
      <w:pPr>
        <w:spacing w:before="0" w:after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（6）转专业工作咨询方式</w:t>
      </w:r>
    </w:p>
    <w:p w14:paraId="48749F9D">
      <w:pPr>
        <w:spacing w:before="0" w:after="0"/>
        <w:ind w:left="14" w:leftChars="6"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1.转专业政策咨询</w:t>
      </w:r>
    </w:p>
    <w:p w14:paraId="3D1C38A1">
      <w:pPr>
        <w:spacing w:before="0" w:after="0"/>
        <w:ind w:left="14" w:leftChars="6"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028-66367550 、028-66367505        </w:t>
      </w:r>
    </w:p>
    <w:p w14:paraId="7EB55638">
      <w:pPr>
        <w:spacing w:before="0" w:after="0"/>
        <w:ind w:left="14" w:leftChars="6"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2.转专业咨询方式</w:t>
      </w:r>
    </w:p>
    <w:p w14:paraId="0DB9AB77">
      <w:pPr>
        <w:spacing w:before="0" w:after="0"/>
        <w:ind w:left="14" w:leftChars="6"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建筑学专业咨询邮箱   swjtuarch_recruit@163.com</w:t>
      </w:r>
    </w:p>
    <w:p w14:paraId="26F3B74B">
      <w:pPr>
        <w:spacing w:before="0" w:after="0"/>
        <w:ind w:left="14" w:leftChars="6"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城乡规划专业咨询邮箱 250220930@qq.com</w:t>
      </w:r>
    </w:p>
    <w:p w14:paraId="6ECB8186">
      <w:pPr>
        <w:spacing w:before="0" w:after="0"/>
        <w:ind w:left="653" w:leftChars="272" w:firstLine="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风景园林专业咨询邮箱 14744632@qq.com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本细则未尽事宜由建筑学院转专业工作领导小组负责解释。</w:t>
      </w:r>
    </w:p>
    <w:p w14:paraId="1034E440">
      <w:pPr>
        <w:spacing w:before="0" w:after="0"/>
        <w:ind w:firstLine="643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本细则自公布之日起实施，原《建筑学院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年本科生转专业实施细则》同时废止。</w:t>
      </w:r>
    </w:p>
    <w:p w14:paraId="58251462">
      <w:pPr>
        <w:spacing w:before="0" w:after="0"/>
        <w:ind w:left="492" w:leftChars="205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 w14:paraId="218BE917">
      <w:pPr>
        <w:spacing w:before="0" w:after="0"/>
        <w:ind w:left="492" w:leftChars="205"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西南交通大学建筑学院</w:t>
      </w:r>
    </w:p>
    <w:p w14:paraId="0F79EA01">
      <w:pPr>
        <w:spacing w:before="0" w:after="0"/>
        <w:ind w:left="490" w:leftChars="204" w:firstLine="4547" w:firstLineChars="142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年11月28日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71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B83294-9FD9-4975-B85B-4350BDFE1D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682CE8-8109-4B71-BDE9-F4769645F26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6F987A80-1A15-472F-A5F9-02C2FD02083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3A357A8-C4D1-4D34-B7AB-7393636A70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EF2B90A-7434-4B80-A678-487A9135769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B10C40C-4484-4050-835E-23DA8FCA699C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17D29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A953C">
                          <w:pPr>
                            <w:pStyle w:val="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8A953C">
                    <w:pPr>
                      <w:pStyle w:val="5"/>
                      <w:ind w:firstLine="360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EB49B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402BB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BC71E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81C74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66A0F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BF46D7"/>
    <w:multiLevelType w:val="multilevel"/>
    <w:tmpl w:val="55BF46D7"/>
    <w:lvl w:ilvl="0" w:tentative="0">
      <w:start w:val="1"/>
      <w:numFmt w:val="chineseCountingThousand"/>
      <w:pStyle w:val="7"/>
      <w:lvlText w:val="%1、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hNTdmMTFkMzE2NWNkNGZmZjQyMGYyNzY2OThhMjUifQ=="/>
  </w:docVars>
  <w:rsids>
    <w:rsidRoot w:val="00770D01"/>
    <w:rsid w:val="00001C3E"/>
    <w:rsid w:val="00012E4D"/>
    <w:rsid w:val="000318D0"/>
    <w:rsid w:val="00054B5B"/>
    <w:rsid w:val="00054C10"/>
    <w:rsid w:val="00090A0E"/>
    <w:rsid w:val="000920DB"/>
    <w:rsid w:val="000C76D8"/>
    <w:rsid w:val="000D3034"/>
    <w:rsid w:val="000E3668"/>
    <w:rsid w:val="000E5325"/>
    <w:rsid w:val="00100485"/>
    <w:rsid w:val="00117E81"/>
    <w:rsid w:val="00145A08"/>
    <w:rsid w:val="001511F7"/>
    <w:rsid w:val="001701D0"/>
    <w:rsid w:val="001B6C01"/>
    <w:rsid w:val="001D53F1"/>
    <w:rsid w:val="00224BE8"/>
    <w:rsid w:val="00255D6B"/>
    <w:rsid w:val="00261795"/>
    <w:rsid w:val="002703A7"/>
    <w:rsid w:val="002810DB"/>
    <w:rsid w:val="0028773C"/>
    <w:rsid w:val="002B0079"/>
    <w:rsid w:val="002D1D4A"/>
    <w:rsid w:val="002F1878"/>
    <w:rsid w:val="002F3E66"/>
    <w:rsid w:val="0032173B"/>
    <w:rsid w:val="00335849"/>
    <w:rsid w:val="00336748"/>
    <w:rsid w:val="00355B9C"/>
    <w:rsid w:val="00361FD5"/>
    <w:rsid w:val="003C69BD"/>
    <w:rsid w:val="0040201A"/>
    <w:rsid w:val="00410A4A"/>
    <w:rsid w:val="00447F7E"/>
    <w:rsid w:val="004528ED"/>
    <w:rsid w:val="00482531"/>
    <w:rsid w:val="00496AA7"/>
    <w:rsid w:val="00500D9A"/>
    <w:rsid w:val="005116C4"/>
    <w:rsid w:val="00524359"/>
    <w:rsid w:val="005247F3"/>
    <w:rsid w:val="0053272E"/>
    <w:rsid w:val="00563AB1"/>
    <w:rsid w:val="00570EEF"/>
    <w:rsid w:val="00592E7E"/>
    <w:rsid w:val="005C419D"/>
    <w:rsid w:val="005C5020"/>
    <w:rsid w:val="005C6D7B"/>
    <w:rsid w:val="006157AF"/>
    <w:rsid w:val="006167B8"/>
    <w:rsid w:val="0064497A"/>
    <w:rsid w:val="00644DDE"/>
    <w:rsid w:val="00687851"/>
    <w:rsid w:val="006A0A03"/>
    <w:rsid w:val="006B4B0A"/>
    <w:rsid w:val="006B4CF1"/>
    <w:rsid w:val="00705149"/>
    <w:rsid w:val="007073F9"/>
    <w:rsid w:val="007142CD"/>
    <w:rsid w:val="0073023F"/>
    <w:rsid w:val="00761820"/>
    <w:rsid w:val="00770D01"/>
    <w:rsid w:val="007C713B"/>
    <w:rsid w:val="00832BA2"/>
    <w:rsid w:val="008473DC"/>
    <w:rsid w:val="00866734"/>
    <w:rsid w:val="008B6D29"/>
    <w:rsid w:val="008F3480"/>
    <w:rsid w:val="009049FE"/>
    <w:rsid w:val="0090631C"/>
    <w:rsid w:val="009312B2"/>
    <w:rsid w:val="00933BC0"/>
    <w:rsid w:val="00943F9E"/>
    <w:rsid w:val="009732E4"/>
    <w:rsid w:val="009A28D3"/>
    <w:rsid w:val="009A4840"/>
    <w:rsid w:val="009B5684"/>
    <w:rsid w:val="009C1AE1"/>
    <w:rsid w:val="009C2330"/>
    <w:rsid w:val="009F4A22"/>
    <w:rsid w:val="00A23615"/>
    <w:rsid w:val="00A963BB"/>
    <w:rsid w:val="00A96A9A"/>
    <w:rsid w:val="00AC00FA"/>
    <w:rsid w:val="00AC5421"/>
    <w:rsid w:val="00AE49CF"/>
    <w:rsid w:val="00AF11BC"/>
    <w:rsid w:val="00B412ED"/>
    <w:rsid w:val="00B64EC3"/>
    <w:rsid w:val="00B750A0"/>
    <w:rsid w:val="00BF4484"/>
    <w:rsid w:val="00C20DA2"/>
    <w:rsid w:val="00C31413"/>
    <w:rsid w:val="00C350F1"/>
    <w:rsid w:val="00C408B1"/>
    <w:rsid w:val="00CB7BD6"/>
    <w:rsid w:val="00CC0058"/>
    <w:rsid w:val="00CF5F1B"/>
    <w:rsid w:val="00D141BF"/>
    <w:rsid w:val="00D63DB5"/>
    <w:rsid w:val="00DF0B9E"/>
    <w:rsid w:val="00DF20A4"/>
    <w:rsid w:val="00E02166"/>
    <w:rsid w:val="00E0508A"/>
    <w:rsid w:val="00E12269"/>
    <w:rsid w:val="00E22569"/>
    <w:rsid w:val="00E44196"/>
    <w:rsid w:val="00E5638B"/>
    <w:rsid w:val="00E5780C"/>
    <w:rsid w:val="00E657CF"/>
    <w:rsid w:val="00E66457"/>
    <w:rsid w:val="00E90DDA"/>
    <w:rsid w:val="00EB03B2"/>
    <w:rsid w:val="00F22A4E"/>
    <w:rsid w:val="00F60FB5"/>
    <w:rsid w:val="00F67ABC"/>
    <w:rsid w:val="00F90EA6"/>
    <w:rsid w:val="00FA1A70"/>
    <w:rsid w:val="00FA4E1A"/>
    <w:rsid w:val="00FA717D"/>
    <w:rsid w:val="00FC0700"/>
    <w:rsid w:val="00FD4B03"/>
    <w:rsid w:val="00FE77C2"/>
    <w:rsid w:val="00FF3440"/>
    <w:rsid w:val="037C35CB"/>
    <w:rsid w:val="062E7818"/>
    <w:rsid w:val="0FE15903"/>
    <w:rsid w:val="1485199D"/>
    <w:rsid w:val="18376CC5"/>
    <w:rsid w:val="1895009F"/>
    <w:rsid w:val="19DD3E77"/>
    <w:rsid w:val="19F0378C"/>
    <w:rsid w:val="1AAE2F66"/>
    <w:rsid w:val="1C6A3FE9"/>
    <w:rsid w:val="298B6F2F"/>
    <w:rsid w:val="2BC20A39"/>
    <w:rsid w:val="2C4B5AD3"/>
    <w:rsid w:val="36DA077E"/>
    <w:rsid w:val="39875C71"/>
    <w:rsid w:val="3E063608"/>
    <w:rsid w:val="3EC136CC"/>
    <w:rsid w:val="40CF23D7"/>
    <w:rsid w:val="4F1F09CE"/>
    <w:rsid w:val="52C40883"/>
    <w:rsid w:val="542C6839"/>
    <w:rsid w:val="5F7F2DC3"/>
    <w:rsid w:val="60874417"/>
    <w:rsid w:val="62500A46"/>
    <w:rsid w:val="62B85EF4"/>
    <w:rsid w:val="67E4634D"/>
    <w:rsid w:val="6AAC5347"/>
    <w:rsid w:val="6B630500"/>
    <w:rsid w:val="6ECC57CB"/>
    <w:rsid w:val="73EE4103"/>
    <w:rsid w:val="7D8F2938"/>
    <w:rsid w:val="7E01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40" w:line="360" w:lineRule="auto"/>
      <w:ind w:firstLine="200" w:firstLineChars="200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</w:style>
  <w:style w:type="paragraph" w:styleId="4">
    <w:name w:val="Balloon Text"/>
    <w:basedOn w:val="1"/>
    <w:link w:val="20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5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7"/>
    <w:qFormat/>
    <w:uiPriority w:val="11"/>
    <w:pPr>
      <w:numPr>
        <w:ilvl w:val="0"/>
        <w:numId w:val="1"/>
      </w:numPr>
      <w:spacing w:line="312" w:lineRule="auto"/>
      <w:ind w:firstLine="0" w:firstLineChars="0"/>
      <w:outlineLvl w:val="1"/>
    </w:pPr>
    <w:rPr>
      <w:rFonts w:ascii="Cambria" w:hAnsi="Cambria"/>
      <w:b/>
      <w:bCs/>
      <w:kern w:val="28"/>
      <w:sz w:val="30"/>
      <w:szCs w:val="32"/>
    </w:rPr>
  </w:style>
  <w:style w:type="paragraph" w:styleId="8">
    <w:name w:val="HTML Preformatted"/>
    <w:basedOn w:val="1"/>
    <w:link w:val="2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 w:firstLineChars="0"/>
    </w:pPr>
    <w:rPr>
      <w:rFonts w:ascii="宋体" w:hAnsi="宋体" w:cs="宋体"/>
      <w:kern w:val="0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rFonts w:hint="default" w:ascii="Arial" w:hAnsi="Arial" w:cs="Arial"/>
      <w:color w:val="000000"/>
      <w:u w:val="non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12"/>
    <w:link w:val="2"/>
    <w:qFormat/>
    <w:uiPriority w:val="0"/>
    <w:rPr>
      <w:rFonts w:ascii="Calibri" w:hAnsi="Calibri" w:eastAsia="宋体" w:cs="Times New Roman"/>
      <w:b/>
      <w:bCs/>
      <w:kern w:val="44"/>
      <w:sz w:val="32"/>
      <w:szCs w:val="44"/>
    </w:rPr>
  </w:style>
  <w:style w:type="character" w:customStyle="1" w:styleId="16">
    <w:name w:val="批注文字 字符"/>
    <w:basedOn w:val="12"/>
    <w:link w:val="3"/>
    <w:semiHidden/>
    <w:qFormat/>
    <w:uiPriority w:val="99"/>
    <w:rPr>
      <w:rFonts w:ascii="Calibri" w:hAnsi="Calibri" w:eastAsia="宋体" w:cs="Times New Roman"/>
      <w:sz w:val="24"/>
    </w:rPr>
  </w:style>
  <w:style w:type="character" w:customStyle="1" w:styleId="17">
    <w:name w:val="副标题 字符"/>
    <w:basedOn w:val="12"/>
    <w:link w:val="7"/>
    <w:qFormat/>
    <w:uiPriority w:val="11"/>
    <w:rPr>
      <w:rFonts w:ascii="Cambria" w:hAnsi="Cambria" w:eastAsia="宋体" w:cs="Times New Roman"/>
      <w:b/>
      <w:bCs/>
      <w:kern w:val="28"/>
      <w:sz w:val="30"/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paragraph" w:customStyle="1" w:styleId="19">
    <w:name w:val="列出段落1"/>
    <w:basedOn w:val="1"/>
    <w:qFormat/>
    <w:uiPriority w:val="99"/>
    <w:pPr>
      <w:spacing w:before="0" w:after="0" w:line="240" w:lineRule="auto"/>
      <w:ind w:firstLine="420"/>
      <w:jc w:val="both"/>
    </w:pPr>
    <w:rPr>
      <w:sz w:val="21"/>
    </w:rPr>
  </w:style>
  <w:style w:type="character" w:customStyle="1" w:styleId="20">
    <w:name w:val="批注框文本 字符"/>
    <w:basedOn w:val="12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HTML 预设格式 字符"/>
    <w:basedOn w:val="12"/>
    <w:link w:val="8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批注主题 字符"/>
    <w:basedOn w:val="16"/>
    <w:link w:val="9"/>
    <w:semiHidden/>
    <w:qFormat/>
    <w:uiPriority w:val="99"/>
    <w:rPr>
      <w:rFonts w:ascii="Calibri" w:hAnsi="Calibri" w:eastAsia="宋体" w:cs="Times New Roman"/>
      <w:b/>
      <w:bCs/>
      <w:sz w:val="24"/>
    </w:rPr>
  </w:style>
  <w:style w:type="character" w:customStyle="1" w:styleId="23">
    <w:name w:val="页眉 字符"/>
    <w:basedOn w:val="12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4">
    <w:name w:val="页脚 字符"/>
    <w:basedOn w:val="12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1547</Words>
  <Characters>1700</Characters>
  <Lines>14</Lines>
  <Paragraphs>3</Paragraphs>
  <TotalTime>14</TotalTime>
  <ScaleCrop>false</ScaleCrop>
  <LinksUpToDate>false</LinksUpToDate>
  <CharactersWithSpaces>1744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2022-12-09T08:15:00Z</dcterms:created>
  <dc:creator>jd</dc:creator>
  <cp:lastModifiedBy>WPS_1027902340</cp:lastModifiedBy>
  <cp:lastPrinted>2023-12-21T00:25:00Z</cp:lastPrinted>
  <dcterms:modified xsi:type="dcterms:W3CDTF">2025-11-28T08:34:39Z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CED7771195A043FE871EC6FA9777499A_13</vt:lpwstr>
  </property>
  <property fmtid="{D5CDD505-2E9C-101B-9397-08002B2CF9AE}" pid="4" name="KSOTemplateDocerSaveRecord">
    <vt:lpwstr>eyJoZGlkIjoiNzVjYjczMmY5OWExMzI4NGJjYTE0M2JmNzAwMGQ3OGMiLCJ1c2VySWQiOiIxMDI3OTAyMzQwIn0=</vt:lpwstr>
  </property>
</Properties>
</file>