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F634B">
      <w:pPr>
        <w:spacing w:line="360" w:lineRule="auto"/>
        <w:jc w:val="center"/>
        <w:rPr>
          <w:rFonts w:ascii="Times New Roman" w:hAnsi="Times New Roman" w:eastAsia="微软雅黑" w:cs="Times New Roman"/>
          <w:b/>
          <w:bCs/>
          <w:sz w:val="32"/>
          <w:szCs w:val="32"/>
        </w:rPr>
      </w:pPr>
      <w:bookmarkStart w:id="0" w:name="_Toc444874524"/>
      <w:r>
        <w:rPr>
          <w:rFonts w:hint="eastAsia" w:ascii="方正小标宋简体" w:hAnsi="方正小标宋简体" w:eastAsia="方正小标宋简体" w:cs="方正小标宋简体"/>
          <w:b/>
          <w:bCs/>
          <w:sz w:val="32"/>
          <w:szCs w:val="32"/>
        </w:rPr>
        <w:t>化学学院本科生转专业实施细则</w:t>
      </w:r>
      <w:bookmarkEnd w:id="0"/>
    </w:p>
    <w:p w14:paraId="4EF0F343">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为进一步规范本科生转专业管理工作，根据《西南交通大学本科生转专业管理办法》</w:t>
      </w:r>
      <w:r>
        <w:rPr>
          <w:rFonts w:hint="eastAsia" w:ascii="仿宋" w:hAnsi="仿宋" w:eastAsia="仿宋" w:cs="仿宋"/>
          <w:sz w:val="24"/>
          <w:szCs w:val="24"/>
        </w:rPr>
        <w:t>（西交校〔2019〕126号），</w:t>
      </w:r>
      <w:r>
        <w:rPr>
          <w:rFonts w:hint="eastAsia" w:ascii="仿宋" w:hAnsi="仿宋" w:eastAsia="仿宋" w:cs="仿宋"/>
          <w:color w:val="000000"/>
          <w:sz w:val="24"/>
        </w:rPr>
        <w:t>结合学院实际，制定本细则。</w:t>
      </w:r>
    </w:p>
    <w:p w14:paraId="0CB121F8">
      <w:pPr>
        <w:spacing w:line="360" w:lineRule="auto"/>
        <w:ind w:firstLine="562" w:firstLineChars="200"/>
        <w:jc w:val="left"/>
        <w:outlineLvl w:val="1"/>
        <w:rPr>
          <w:rFonts w:ascii="Times New Roman" w:hAnsi="Times New Roman" w:eastAsia="黑体" w:cs="Times New Roman"/>
          <w:b/>
          <w:bCs/>
          <w:color w:val="000000"/>
          <w:kern w:val="28"/>
          <w:sz w:val="28"/>
          <w:szCs w:val="28"/>
        </w:rPr>
      </w:pPr>
      <w:bookmarkStart w:id="1" w:name="_Toc444615425"/>
      <w:bookmarkStart w:id="2" w:name="_Toc444848819"/>
      <w:bookmarkStart w:id="3" w:name="_Toc444871815"/>
      <w:r>
        <w:rPr>
          <w:rFonts w:hint="eastAsia" w:ascii="Times New Roman" w:hAnsi="Times New Roman" w:eastAsia="黑体" w:cs="Times New Roman"/>
          <w:b/>
          <w:bCs/>
          <w:color w:val="000000"/>
          <w:kern w:val="28"/>
          <w:sz w:val="28"/>
          <w:szCs w:val="28"/>
        </w:rPr>
        <w:t>一、</w:t>
      </w:r>
      <w:r>
        <w:rPr>
          <w:rFonts w:ascii="Times New Roman" w:hAnsi="Times New Roman" w:eastAsia="黑体" w:cs="Times New Roman"/>
          <w:b/>
          <w:bCs/>
          <w:color w:val="000000"/>
          <w:kern w:val="28"/>
          <w:sz w:val="28"/>
          <w:szCs w:val="28"/>
        </w:rPr>
        <w:t>转专业工作领导小组</w:t>
      </w:r>
      <w:bookmarkEnd w:id="1"/>
      <w:bookmarkEnd w:id="2"/>
      <w:bookmarkEnd w:id="3"/>
    </w:p>
    <w:p w14:paraId="3EC001BD">
      <w:pPr>
        <w:spacing w:line="360" w:lineRule="auto"/>
        <w:ind w:firstLine="480" w:firstLineChars="200"/>
        <w:rPr>
          <w:rFonts w:ascii="Times New Roman" w:hAnsi="Times New Roman" w:eastAsia="仿宋" w:cs="Times New Roman"/>
          <w:color w:val="000000"/>
          <w:sz w:val="24"/>
        </w:rPr>
      </w:pPr>
      <w:r>
        <w:rPr>
          <w:rFonts w:ascii="Times New Roman" w:hAnsi="Times New Roman" w:eastAsia="仿宋" w:cs="Times New Roman"/>
          <w:color w:val="000000"/>
          <w:sz w:val="24"/>
        </w:rPr>
        <w:t>组长：</w:t>
      </w:r>
      <w:r>
        <w:rPr>
          <w:rFonts w:hint="eastAsia" w:ascii="Times New Roman" w:hAnsi="Times New Roman" w:eastAsia="仿宋" w:cs="Times New Roman"/>
          <w:color w:val="000000"/>
          <w:sz w:val="24"/>
        </w:rPr>
        <w:t>书记</w:t>
      </w:r>
      <w:r>
        <w:rPr>
          <w:rFonts w:ascii="Times New Roman" w:hAnsi="Times New Roman" w:eastAsia="仿宋" w:cs="Times New Roman"/>
          <w:color w:val="000000"/>
          <w:sz w:val="24"/>
        </w:rPr>
        <w:t xml:space="preserve">  </w:t>
      </w:r>
      <w:r>
        <w:rPr>
          <w:rFonts w:hint="eastAsia" w:ascii="Times New Roman" w:hAnsi="Times New Roman" w:eastAsia="仿宋" w:cs="Times New Roman"/>
          <w:color w:val="000000"/>
          <w:sz w:val="24"/>
        </w:rPr>
        <w:t>院长</w:t>
      </w:r>
    </w:p>
    <w:p w14:paraId="670F76FE">
      <w:pPr>
        <w:spacing w:line="360" w:lineRule="auto"/>
        <w:ind w:firstLine="480" w:firstLineChars="200"/>
        <w:rPr>
          <w:rFonts w:ascii="Times New Roman" w:hAnsi="Times New Roman" w:eastAsia="仿宋" w:cs="Times New Roman"/>
          <w:color w:val="000000"/>
          <w:sz w:val="24"/>
        </w:rPr>
      </w:pPr>
      <w:r>
        <w:rPr>
          <w:rFonts w:ascii="Times New Roman" w:hAnsi="Times New Roman" w:eastAsia="仿宋" w:cs="Times New Roman"/>
          <w:color w:val="000000"/>
          <w:sz w:val="24"/>
        </w:rPr>
        <w:t>成员：</w:t>
      </w:r>
      <w:r>
        <w:rPr>
          <w:rFonts w:hint="eastAsia" w:ascii="Times New Roman" w:hAnsi="Times New Roman" w:eastAsia="仿宋" w:cs="Times New Roman"/>
          <w:color w:val="000000"/>
          <w:sz w:val="24"/>
        </w:rPr>
        <w:t>教学分管副院长  副书记  专业负责人  各系部主任</w:t>
      </w:r>
    </w:p>
    <w:p w14:paraId="5754DC1E">
      <w:pPr>
        <w:spacing w:line="360" w:lineRule="auto"/>
        <w:ind w:firstLine="480" w:firstLineChars="200"/>
        <w:rPr>
          <w:rFonts w:ascii="Times New Roman" w:hAnsi="Times New Roman" w:eastAsia="仿宋" w:cs="Times New Roman"/>
          <w:color w:val="000000"/>
          <w:sz w:val="24"/>
          <w:szCs w:val="24"/>
        </w:rPr>
      </w:pPr>
      <w:r>
        <w:rPr>
          <w:rFonts w:ascii="Times New Roman" w:hAnsi="Times New Roman" w:eastAsia="仿宋" w:cs="Times New Roman"/>
          <w:color w:val="000000"/>
          <w:sz w:val="24"/>
        </w:rPr>
        <w:t>秘书：</w:t>
      </w:r>
      <w:r>
        <w:rPr>
          <w:rFonts w:hint="eastAsia" w:ascii="Times New Roman" w:hAnsi="Times New Roman" w:eastAsia="仿宋" w:cs="Times New Roman"/>
          <w:color w:val="000000"/>
          <w:sz w:val="24"/>
        </w:rPr>
        <w:t>本科教学秘书</w:t>
      </w:r>
      <w:r>
        <w:rPr>
          <w:rFonts w:ascii="Times New Roman" w:hAnsi="Times New Roman" w:eastAsia="仿宋" w:cs="Times New Roman"/>
          <w:color w:val="000000"/>
          <w:sz w:val="24"/>
        </w:rPr>
        <w:t xml:space="preserve">  </w:t>
      </w:r>
    </w:p>
    <w:p w14:paraId="6D8D4FAD">
      <w:pPr>
        <w:spacing w:line="360" w:lineRule="auto"/>
        <w:ind w:left="99" w:leftChars="47" w:firstLine="562" w:firstLineChars="200"/>
        <w:jc w:val="left"/>
        <w:outlineLvl w:val="1"/>
        <w:rPr>
          <w:rFonts w:ascii="Times New Roman" w:hAnsi="Times New Roman" w:eastAsia="黑体" w:cs="Times New Roman"/>
          <w:b/>
          <w:bCs/>
          <w:color w:val="000000"/>
          <w:kern w:val="28"/>
          <w:sz w:val="28"/>
          <w:szCs w:val="28"/>
        </w:rPr>
      </w:pPr>
      <w:r>
        <w:rPr>
          <w:rFonts w:hint="eastAsia" w:ascii="Times New Roman" w:hAnsi="Times New Roman" w:eastAsia="黑体" w:cs="Times New Roman"/>
          <w:b/>
          <w:bCs/>
          <w:color w:val="000000"/>
          <w:kern w:val="28"/>
          <w:sz w:val="28"/>
          <w:szCs w:val="28"/>
        </w:rPr>
        <w:t>二、</w:t>
      </w:r>
      <w:r>
        <w:rPr>
          <w:rFonts w:ascii="Times New Roman" w:hAnsi="Times New Roman" w:eastAsia="黑体" w:cs="Times New Roman"/>
          <w:b/>
          <w:bCs/>
          <w:color w:val="000000"/>
          <w:kern w:val="28"/>
          <w:sz w:val="28"/>
          <w:szCs w:val="28"/>
        </w:rPr>
        <w:t>转专业实施细则</w:t>
      </w:r>
    </w:p>
    <w:p w14:paraId="038BDE5F">
      <w:pPr>
        <w:spacing w:line="360" w:lineRule="auto"/>
        <w:ind w:firstLine="480" w:firstLineChars="200"/>
        <w:jc w:val="left"/>
        <w:rPr>
          <w:rFonts w:ascii="Times New Roman" w:hAnsi="Times New Roman" w:eastAsia="仿宋" w:cs="Times New Roman"/>
          <w:color w:val="000000"/>
          <w:sz w:val="24"/>
        </w:rPr>
      </w:pPr>
      <w:r>
        <w:rPr>
          <w:rFonts w:hint="eastAsia" w:ascii="Times New Roman" w:hAnsi="Times New Roman" w:eastAsia="仿宋" w:cs="Times New Roman"/>
          <w:color w:val="000000"/>
          <w:sz w:val="24"/>
        </w:rPr>
        <w:t>（一）分专业设置</w:t>
      </w:r>
    </w:p>
    <w:p w14:paraId="74E1833B">
      <w:pPr>
        <w:spacing w:line="360" w:lineRule="auto"/>
        <w:ind w:firstLine="480" w:firstLineChars="200"/>
        <w:jc w:val="left"/>
        <w:rPr>
          <w:rFonts w:ascii="Times New Roman" w:hAnsi="Times New Roman" w:eastAsia="仿宋" w:cs="Times New Roman"/>
          <w:color w:val="000000"/>
          <w:sz w:val="24"/>
        </w:rPr>
      </w:pPr>
      <w:r>
        <w:rPr>
          <w:rFonts w:hint="eastAsia" w:ascii="Times New Roman" w:hAnsi="Times New Roman" w:eastAsia="仿宋" w:cs="Times New Roman"/>
          <w:color w:val="000000"/>
          <w:sz w:val="24"/>
        </w:rPr>
        <w:t>化学学院设有两个大类专业：高分子材料与工程，化学。</w:t>
      </w:r>
    </w:p>
    <w:p w14:paraId="3CEFF8E5">
      <w:pPr>
        <w:spacing w:line="360" w:lineRule="auto"/>
        <w:ind w:firstLine="480" w:firstLineChars="200"/>
        <w:jc w:val="left"/>
        <w:rPr>
          <w:rFonts w:ascii="Times New Roman" w:hAnsi="Times New Roman" w:eastAsia="仿宋" w:cs="Times New Roman"/>
          <w:color w:val="000000"/>
          <w:kern w:val="0"/>
          <w:sz w:val="24"/>
          <w:szCs w:val="21"/>
        </w:rPr>
      </w:pPr>
      <w:r>
        <w:rPr>
          <w:rFonts w:hint="eastAsia" w:ascii="Times New Roman" w:hAnsi="Times New Roman" w:eastAsia="仿宋" w:cs="Times New Roman"/>
          <w:color w:val="000000"/>
          <w:kern w:val="0"/>
          <w:sz w:val="24"/>
          <w:szCs w:val="21"/>
        </w:rPr>
        <w:t>（二）</w:t>
      </w:r>
      <w:r>
        <w:rPr>
          <w:rFonts w:ascii="Times New Roman" w:hAnsi="Times New Roman" w:eastAsia="仿宋" w:cs="Times New Roman"/>
          <w:color w:val="000000"/>
          <w:kern w:val="0"/>
          <w:sz w:val="24"/>
          <w:szCs w:val="21"/>
        </w:rPr>
        <w:t>计划录取名额</w:t>
      </w:r>
    </w:p>
    <w:p w14:paraId="25973F81">
      <w:pPr>
        <w:spacing w:line="360" w:lineRule="auto"/>
        <w:ind w:firstLine="480" w:firstLineChars="200"/>
        <w:rPr>
          <w:rFonts w:ascii="Times New Roman" w:hAnsi="Times New Roman" w:eastAsia="仿宋" w:cs="Times New Roman"/>
          <w:color w:val="000000"/>
          <w:kern w:val="0"/>
          <w:sz w:val="24"/>
          <w:szCs w:val="21"/>
        </w:rPr>
      </w:pPr>
      <w:r>
        <w:rPr>
          <w:rFonts w:ascii="Times New Roman" w:hAnsi="Times New Roman" w:eastAsia="仿宋" w:cs="Times New Roman"/>
          <w:color w:val="000000"/>
          <w:kern w:val="0"/>
          <w:sz w:val="24"/>
          <w:szCs w:val="21"/>
        </w:rPr>
        <w:t>化学学院转专业计划录取总人数不超过各专业基数的10%</w:t>
      </w:r>
      <w:r>
        <w:rPr>
          <w:rFonts w:hint="eastAsia" w:ascii="Times New Roman" w:hAnsi="Times New Roman" w:eastAsia="仿宋" w:cs="Times New Roman"/>
          <w:color w:val="000000"/>
          <w:kern w:val="0"/>
          <w:sz w:val="24"/>
          <w:szCs w:val="21"/>
        </w:rPr>
        <w:t>（退役后复学的学生申请转专业不计入录取总名额）。</w:t>
      </w:r>
    </w:p>
    <w:p w14:paraId="531FB6E0">
      <w:pPr>
        <w:spacing w:line="360" w:lineRule="auto"/>
        <w:ind w:firstLine="480" w:firstLineChars="200"/>
        <w:jc w:val="left"/>
        <w:rPr>
          <w:rFonts w:ascii="Times New Roman" w:hAnsi="Times New Roman" w:eastAsia="仿宋" w:cs="Times New Roman"/>
          <w:color w:val="000000"/>
          <w:sz w:val="24"/>
        </w:rPr>
      </w:pPr>
      <w:r>
        <w:rPr>
          <w:rFonts w:hint="eastAsia" w:ascii="Times New Roman" w:hAnsi="Times New Roman" w:eastAsia="仿宋" w:cs="Times New Roman"/>
          <w:color w:val="000000"/>
          <w:sz w:val="24"/>
        </w:rPr>
        <w:t>（三）转专业要求</w:t>
      </w:r>
    </w:p>
    <w:p w14:paraId="684CD8D2">
      <w:pPr>
        <w:spacing w:line="360" w:lineRule="auto"/>
        <w:ind w:firstLine="480" w:firstLineChars="200"/>
        <w:jc w:val="left"/>
        <w:rPr>
          <w:rFonts w:ascii="Times New Roman" w:hAnsi="Times New Roman" w:eastAsia="仿宋" w:cs="Times New Roman"/>
          <w:color w:val="000000"/>
          <w:sz w:val="24"/>
        </w:rPr>
      </w:pPr>
      <w:r>
        <w:rPr>
          <w:rFonts w:hint="eastAsia" w:ascii="Times New Roman" w:hAnsi="Times New Roman" w:eastAsia="仿宋" w:cs="Times New Roman"/>
          <w:color w:val="000000"/>
          <w:sz w:val="24"/>
        </w:rPr>
        <w:t>1、申请学生须满足《西南交通大学本科生转专业管理办法》相关要求。</w:t>
      </w:r>
    </w:p>
    <w:p w14:paraId="08D779F8">
      <w:pPr>
        <w:spacing w:line="360" w:lineRule="auto"/>
        <w:ind w:firstLine="480" w:firstLineChars="200"/>
        <w:jc w:val="left"/>
        <w:rPr>
          <w:rFonts w:ascii="Times New Roman" w:hAnsi="Times New Roman" w:eastAsia="仿宋" w:cs="Times New Roman"/>
          <w:color w:val="000000"/>
          <w:sz w:val="24"/>
        </w:rPr>
      </w:pPr>
      <w:r>
        <w:rPr>
          <w:rFonts w:hint="eastAsia" w:ascii="Times New Roman" w:hAnsi="Times New Roman" w:eastAsia="仿宋" w:cs="Times New Roman"/>
          <w:color w:val="000000"/>
          <w:sz w:val="24"/>
        </w:rPr>
        <w:t>2、跨学院或学科专业转入学生预修并达到化学学院转入专业准入课程相关要求，</w:t>
      </w:r>
      <w:r>
        <w:rPr>
          <w:rFonts w:ascii="Times New Roman" w:hAnsi="Times New Roman" w:eastAsia="仿宋" w:cs="Times New Roman"/>
          <w:bCs/>
          <w:color w:val="000000"/>
          <w:sz w:val="24"/>
          <w:szCs w:val="24"/>
        </w:rPr>
        <w:t>原则上接收大一、大二本科生</w:t>
      </w:r>
      <w:r>
        <w:rPr>
          <w:rFonts w:hint="eastAsia" w:ascii="Times New Roman" w:hAnsi="Times New Roman" w:eastAsia="仿宋" w:cs="Times New Roman"/>
          <w:color w:val="000000"/>
          <w:sz w:val="24"/>
        </w:rPr>
        <w:t>。</w:t>
      </w:r>
    </w:p>
    <w:p w14:paraId="278380EA">
      <w:pPr>
        <w:spacing w:line="360" w:lineRule="auto"/>
        <w:ind w:firstLine="480" w:firstLineChars="200"/>
        <w:rPr>
          <w:rFonts w:ascii="Times New Roman" w:hAnsi="Times New Roman" w:eastAsia="仿宋" w:cs="Times New Roman"/>
          <w:color w:val="000000"/>
          <w:kern w:val="0"/>
          <w:sz w:val="24"/>
          <w:szCs w:val="21"/>
        </w:rPr>
      </w:pPr>
      <w:r>
        <w:rPr>
          <w:rFonts w:hint="eastAsia" w:ascii="Times New Roman" w:hAnsi="Times New Roman" w:eastAsia="仿宋" w:cs="Times New Roman"/>
          <w:color w:val="000000"/>
          <w:sz w:val="24"/>
        </w:rPr>
        <w:t>3、通过大学英语四级考试（CET-4）。</w:t>
      </w:r>
    </w:p>
    <w:p w14:paraId="612DC2AE">
      <w:pPr>
        <w:spacing w:line="360" w:lineRule="auto"/>
        <w:ind w:firstLine="480" w:firstLineChars="200"/>
        <w:jc w:val="left"/>
        <w:rPr>
          <w:rFonts w:ascii="Times New Roman" w:hAnsi="Times New Roman" w:eastAsia="仿宋" w:cs="Times New Roman"/>
          <w:color w:val="000000"/>
          <w:kern w:val="0"/>
          <w:sz w:val="24"/>
          <w:szCs w:val="21"/>
        </w:rPr>
      </w:pPr>
      <w:r>
        <w:rPr>
          <w:rFonts w:hint="eastAsia" w:ascii="Times New Roman" w:hAnsi="Times New Roman" w:eastAsia="仿宋" w:cs="Times New Roman"/>
          <w:color w:val="000000"/>
          <w:kern w:val="0"/>
          <w:sz w:val="24"/>
          <w:szCs w:val="21"/>
        </w:rPr>
        <w:t>（四）转专业准入课程明细</w:t>
      </w:r>
    </w:p>
    <w:p w14:paraId="1722BA60">
      <w:pPr>
        <w:adjustRightInd w:val="0"/>
        <w:snapToGrid w:val="0"/>
        <w:spacing w:line="360" w:lineRule="auto"/>
        <w:ind w:firstLine="480" w:firstLineChars="200"/>
        <w:jc w:val="left"/>
        <w:outlineLvl w:val="0"/>
        <w:rPr>
          <w:rFonts w:ascii="Times New Roman" w:hAnsi="Times New Roman" w:eastAsia="仿宋" w:cs="Times New Roman"/>
          <w:bCs/>
          <w:color w:val="000000"/>
          <w:kern w:val="28"/>
          <w:sz w:val="20"/>
          <w:szCs w:val="24"/>
        </w:rPr>
      </w:pPr>
      <w:r>
        <w:rPr>
          <w:rFonts w:ascii="Times New Roman" w:hAnsi="Times New Roman" w:eastAsia="仿宋" w:cs="Times New Roman"/>
          <w:color w:val="000000"/>
          <w:sz w:val="24"/>
        </w:rPr>
        <w:t>1、高分子材料与工程专业</w:t>
      </w:r>
      <w:r>
        <w:rPr>
          <w:rFonts w:hint="eastAsia" w:ascii="Times New Roman" w:hAnsi="Times New Roman" w:eastAsia="仿宋" w:cs="Times New Roman"/>
          <w:color w:val="000000"/>
          <w:sz w:val="24"/>
        </w:rPr>
        <w:t>准入课程</w:t>
      </w:r>
      <w:r>
        <w:rPr>
          <w:rFonts w:ascii="Times New Roman" w:hAnsi="Times New Roman" w:eastAsia="仿宋" w:cs="Times New Roman"/>
          <w:color w:val="000000"/>
          <w:sz w:val="24"/>
        </w:rPr>
        <w:t>：</w:t>
      </w:r>
    </w:p>
    <w:tbl>
      <w:tblPr>
        <w:tblStyle w:val="6"/>
        <w:tblW w:w="46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2"/>
        <w:gridCol w:w="830"/>
        <w:gridCol w:w="1199"/>
        <w:gridCol w:w="1550"/>
        <w:gridCol w:w="1169"/>
        <w:gridCol w:w="1306"/>
      </w:tblGrid>
      <w:tr w14:paraId="4265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686" w:type="pct"/>
            <w:gridSpan w:val="2"/>
            <w:vAlign w:val="center"/>
          </w:tcPr>
          <w:p w14:paraId="2A54A641">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课程名称</w:t>
            </w:r>
          </w:p>
        </w:tc>
        <w:tc>
          <w:tcPr>
            <w:tcW w:w="760" w:type="pct"/>
            <w:vAlign w:val="center"/>
          </w:tcPr>
          <w:p w14:paraId="0C7AD9FE">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课程学分</w:t>
            </w:r>
          </w:p>
        </w:tc>
        <w:tc>
          <w:tcPr>
            <w:tcW w:w="982" w:type="pct"/>
            <w:vAlign w:val="center"/>
          </w:tcPr>
          <w:p w14:paraId="60099899">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课程代码</w:t>
            </w:r>
          </w:p>
        </w:tc>
        <w:tc>
          <w:tcPr>
            <w:tcW w:w="741" w:type="pct"/>
            <w:vAlign w:val="center"/>
          </w:tcPr>
          <w:p w14:paraId="2DD667D8">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面向年级</w:t>
            </w:r>
          </w:p>
        </w:tc>
        <w:tc>
          <w:tcPr>
            <w:tcW w:w="828" w:type="pct"/>
            <w:vAlign w:val="center"/>
          </w:tcPr>
          <w:p w14:paraId="4F607494">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成绩要求</w:t>
            </w:r>
          </w:p>
        </w:tc>
      </w:tr>
      <w:tr w14:paraId="11C9E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686" w:type="pct"/>
            <w:gridSpan w:val="2"/>
            <w:vAlign w:val="center"/>
          </w:tcPr>
          <w:p w14:paraId="41C1C2E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高等数学I</w:t>
            </w:r>
          </w:p>
        </w:tc>
        <w:tc>
          <w:tcPr>
            <w:tcW w:w="760" w:type="pct"/>
            <w:vAlign w:val="center"/>
          </w:tcPr>
          <w:p w14:paraId="415E72A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5</w:t>
            </w:r>
          </w:p>
        </w:tc>
        <w:tc>
          <w:tcPr>
            <w:tcW w:w="982" w:type="pct"/>
            <w:vAlign w:val="center"/>
          </w:tcPr>
          <w:p w14:paraId="5F624C7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MATH000812</w:t>
            </w:r>
          </w:p>
        </w:tc>
        <w:tc>
          <w:tcPr>
            <w:tcW w:w="741" w:type="pct"/>
            <w:vMerge w:val="restart"/>
            <w:vAlign w:val="center"/>
          </w:tcPr>
          <w:p w14:paraId="46B13A8A">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71267699">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1CA0451D">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1795A02E">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0064AA0D">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302B19C5">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16EEE637">
            <w:pPr>
              <w:adjustRightInd w:val="0"/>
              <w:snapToGrid w:val="0"/>
              <w:spacing w:line="360" w:lineRule="auto"/>
              <w:jc w:val="center"/>
              <w:outlineLvl w:val="0"/>
              <w:rPr>
                <w:rFonts w:ascii="Times New Roman" w:hAnsi="Times New Roman" w:eastAsia="仿宋" w:cs="Times New Roman"/>
                <w:bCs/>
                <w:color w:val="000000"/>
                <w:kern w:val="28"/>
                <w:sz w:val="20"/>
                <w:szCs w:val="24"/>
              </w:rPr>
            </w:pPr>
          </w:p>
          <w:p w14:paraId="591D11A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一年级</w:t>
            </w:r>
          </w:p>
          <w:p w14:paraId="5738DA94">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bottom"/>
          </w:tcPr>
          <w:p w14:paraId="3EA62EB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6664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1686" w:type="pct"/>
            <w:gridSpan w:val="2"/>
            <w:vAlign w:val="center"/>
          </w:tcPr>
          <w:p w14:paraId="4A2A60B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高等数学II</w:t>
            </w:r>
          </w:p>
        </w:tc>
        <w:tc>
          <w:tcPr>
            <w:tcW w:w="760" w:type="pct"/>
            <w:vAlign w:val="center"/>
          </w:tcPr>
          <w:p w14:paraId="2A886D06">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5</w:t>
            </w:r>
          </w:p>
        </w:tc>
        <w:tc>
          <w:tcPr>
            <w:tcW w:w="982" w:type="pct"/>
            <w:vAlign w:val="center"/>
          </w:tcPr>
          <w:p w14:paraId="4B36FEA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MATH011512</w:t>
            </w:r>
          </w:p>
        </w:tc>
        <w:tc>
          <w:tcPr>
            <w:tcW w:w="741" w:type="pct"/>
            <w:vMerge w:val="continue"/>
            <w:vAlign w:val="center"/>
          </w:tcPr>
          <w:p w14:paraId="054C7B86">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center"/>
          </w:tcPr>
          <w:p w14:paraId="7028FFA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380A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686" w:type="pct"/>
            <w:gridSpan w:val="2"/>
            <w:vAlign w:val="center"/>
          </w:tcPr>
          <w:p w14:paraId="0A2CFC49">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英语I</w:t>
            </w:r>
          </w:p>
        </w:tc>
        <w:tc>
          <w:tcPr>
            <w:tcW w:w="760" w:type="pct"/>
            <w:vAlign w:val="center"/>
          </w:tcPr>
          <w:p w14:paraId="7AD73E3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2</w:t>
            </w:r>
          </w:p>
        </w:tc>
        <w:tc>
          <w:tcPr>
            <w:tcW w:w="982" w:type="pct"/>
            <w:vAlign w:val="center"/>
          </w:tcPr>
          <w:p w14:paraId="49BC1650">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SoFL001511</w:t>
            </w:r>
          </w:p>
        </w:tc>
        <w:tc>
          <w:tcPr>
            <w:tcW w:w="741" w:type="pct"/>
            <w:vMerge w:val="continue"/>
            <w:vAlign w:val="center"/>
          </w:tcPr>
          <w:p w14:paraId="4FB0EA1B">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center"/>
          </w:tcPr>
          <w:p w14:paraId="5111EEFD">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20250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686" w:type="pct"/>
            <w:gridSpan w:val="2"/>
            <w:vAlign w:val="center"/>
          </w:tcPr>
          <w:p w14:paraId="45FD543F">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英语II</w:t>
            </w:r>
          </w:p>
        </w:tc>
        <w:tc>
          <w:tcPr>
            <w:tcW w:w="760" w:type="pct"/>
            <w:vAlign w:val="center"/>
          </w:tcPr>
          <w:p w14:paraId="54C1DEF7">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82" w:type="pct"/>
            <w:vAlign w:val="center"/>
          </w:tcPr>
          <w:p w14:paraId="25380AF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SoFL000512</w:t>
            </w:r>
          </w:p>
        </w:tc>
        <w:tc>
          <w:tcPr>
            <w:tcW w:w="741" w:type="pct"/>
            <w:vMerge w:val="continue"/>
            <w:vAlign w:val="center"/>
          </w:tcPr>
          <w:p w14:paraId="5A1A9D8F">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center"/>
          </w:tcPr>
          <w:p w14:paraId="5AE0556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0949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1160" w:type="pct"/>
            <w:vAlign w:val="center"/>
          </w:tcPr>
          <w:p w14:paraId="618925B6">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工程化学A</w:t>
            </w:r>
          </w:p>
        </w:tc>
        <w:tc>
          <w:tcPr>
            <w:tcW w:w="526" w:type="pct"/>
            <w:vMerge w:val="restart"/>
            <w:vAlign w:val="center"/>
          </w:tcPr>
          <w:p w14:paraId="244FC009">
            <w:pPr>
              <w:tabs>
                <w:tab w:val="left" w:pos="202"/>
              </w:tabs>
              <w:adjustRightInd w:val="0"/>
              <w:snapToGrid w:val="0"/>
              <w:spacing w:line="360" w:lineRule="auto"/>
              <w:jc w:val="left"/>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ab/>
            </w:r>
            <w:r>
              <w:rPr>
                <w:rFonts w:hint="eastAsia" w:ascii="Times New Roman" w:hAnsi="Times New Roman" w:eastAsia="仿宋" w:cs="Times New Roman"/>
                <w:bCs/>
                <w:color w:val="000000"/>
                <w:kern w:val="28"/>
                <w:sz w:val="20"/>
                <w:szCs w:val="24"/>
              </w:rPr>
              <w:t>任</w:t>
            </w:r>
          </w:p>
          <w:p w14:paraId="7B1C385D">
            <w:pPr>
              <w:tabs>
                <w:tab w:val="left" w:pos="202"/>
              </w:tabs>
              <w:adjustRightInd w:val="0"/>
              <w:snapToGrid w:val="0"/>
              <w:spacing w:line="360" w:lineRule="auto"/>
              <w:ind w:firstLine="200" w:firstLineChars="100"/>
              <w:jc w:val="left"/>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选</w:t>
            </w:r>
          </w:p>
          <w:p w14:paraId="68137DFD">
            <w:pPr>
              <w:tabs>
                <w:tab w:val="left" w:pos="202"/>
              </w:tabs>
              <w:adjustRightInd w:val="0"/>
              <w:snapToGrid w:val="0"/>
              <w:spacing w:line="360" w:lineRule="auto"/>
              <w:ind w:firstLine="200" w:firstLineChars="100"/>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一</w:t>
            </w:r>
          </w:p>
          <w:p w14:paraId="69BE952B">
            <w:pPr>
              <w:tabs>
                <w:tab w:val="left" w:pos="202"/>
              </w:tabs>
              <w:adjustRightInd w:val="0"/>
              <w:snapToGrid w:val="0"/>
              <w:spacing w:line="360" w:lineRule="auto"/>
              <w:ind w:firstLine="200" w:firstLineChars="100"/>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门</w:t>
            </w:r>
          </w:p>
        </w:tc>
        <w:tc>
          <w:tcPr>
            <w:tcW w:w="760" w:type="pct"/>
            <w:vAlign w:val="center"/>
          </w:tcPr>
          <w:p w14:paraId="6578A98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3</w:t>
            </w:r>
          </w:p>
        </w:tc>
        <w:tc>
          <w:tcPr>
            <w:tcW w:w="982" w:type="pct"/>
            <w:vAlign w:val="center"/>
          </w:tcPr>
          <w:p w14:paraId="610CAE41">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ascii="Times New Roman" w:hAnsi="Times New Roman" w:eastAsia="宋体" w:cs="Times New Roman"/>
                <w:kern w:val="0"/>
                <w:sz w:val="20"/>
                <w:szCs w:val="20"/>
              </w:rPr>
              <w:t>CHEM000112</w:t>
            </w:r>
          </w:p>
        </w:tc>
        <w:tc>
          <w:tcPr>
            <w:tcW w:w="741" w:type="pct"/>
            <w:vMerge w:val="continue"/>
            <w:vAlign w:val="center"/>
          </w:tcPr>
          <w:p w14:paraId="3E85EA60">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Merge w:val="restart"/>
            <w:vAlign w:val="center"/>
          </w:tcPr>
          <w:p w14:paraId="0AAB9CD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68F8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1160" w:type="pct"/>
            <w:vAlign w:val="center"/>
          </w:tcPr>
          <w:p w14:paraId="73337EB0">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工程化学B</w:t>
            </w:r>
          </w:p>
        </w:tc>
        <w:tc>
          <w:tcPr>
            <w:tcW w:w="526" w:type="pct"/>
            <w:vMerge w:val="continue"/>
            <w:vAlign w:val="center"/>
          </w:tcPr>
          <w:p w14:paraId="5FD9B812">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60" w:type="pct"/>
            <w:vAlign w:val="center"/>
          </w:tcPr>
          <w:p w14:paraId="19901DF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2.5</w:t>
            </w:r>
          </w:p>
        </w:tc>
        <w:tc>
          <w:tcPr>
            <w:tcW w:w="982" w:type="pct"/>
            <w:vAlign w:val="center"/>
          </w:tcPr>
          <w:p w14:paraId="48DAB2FF">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hint="eastAsia" w:ascii="Times New Roman" w:hAnsi="Times New Roman" w:eastAsia="仿宋" w:cs="Times New Roman"/>
                <w:bCs/>
                <w:color w:val="000000"/>
                <w:kern w:val="28"/>
                <w:sz w:val="20"/>
                <w:szCs w:val="24"/>
              </w:rPr>
              <w:t>CHEM000212</w:t>
            </w:r>
          </w:p>
        </w:tc>
        <w:tc>
          <w:tcPr>
            <w:tcW w:w="741" w:type="pct"/>
            <w:vMerge w:val="continue"/>
            <w:vAlign w:val="center"/>
          </w:tcPr>
          <w:p w14:paraId="0911BCCD">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Merge w:val="continue"/>
            <w:vAlign w:val="center"/>
          </w:tcPr>
          <w:p w14:paraId="0884C7FD">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r>
      <w:tr w14:paraId="0626E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738EB6B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工程化学C</w:t>
            </w:r>
          </w:p>
        </w:tc>
        <w:tc>
          <w:tcPr>
            <w:tcW w:w="526" w:type="pct"/>
            <w:vMerge w:val="continue"/>
            <w:vAlign w:val="center"/>
          </w:tcPr>
          <w:p w14:paraId="077BC587">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60" w:type="pct"/>
            <w:vAlign w:val="center"/>
          </w:tcPr>
          <w:p w14:paraId="45054A0D">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82" w:type="pct"/>
            <w:vAlign w:val="center"/>
          </w:tcPr>
          <w:p w14:paraId="76F6A305">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hint="eastAsia" w:ascii="Times New Roman" w:hAnsi="Times New Roman" w:eastAsia="仿宋" w:cs="Times New Roman"/>
                <w:bCs/>
                <w:color w:val="000000"/>
                <w:kern w:val="28"/>
                <w:sz w:val="20"/>
                <w:szCs w:val="24"/>
              </w:rPr>
              <w:t>CHEM000312</w:t>
            </w:r>
          </w:p>
        </w:tc>
        <w:tc>
          <w:tcPr>
            <w:tcW w:w="741" w:type="pct"/>
            <w:vMerge w:val="continue"/>
            <w:vAlign w:val="center"/>
          </w:tcPr>
          <w:p w14:paraId="6ED8EFE6">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Merge w:val="continue"/>
            <w:vAlign w:val="center"/>
          </w:tcPr>
          <w:p w14:paraId="137838C7">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r>
      <w:tr w14:paraId="4AF1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4ED3F50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工程化学</w:t>
            </w:r>
          </w:p>
        </w:tc>
        <w:tc>
          <w:tcPr>
            <w:tcW w:w="526" w:type="pct"/>
            <w:vMerge w:val="continue"/>
            <w:vAlign w:val="center"/>
          </w:tcPr>
          <w:p w14:paraId="267B498D">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60" w:type="pct"/>
            <w:vAlign w:val="center"/>
          </w:tcPr>
          <w:p w14:paraId="79009A85">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82" w:type="pct"/>
            <w:vAlign w:val="center"/>
          </w:tcPr>
          <w:p w14:paraId="5A8254B0">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fldChar w:fldCharType="begin"/>
            </w:r>
            <w:r>
              <w:instrText xml:space="preserve"> HYPERLINK "javascript:setQuery('CourseCode','ISCT010611')" \o "点击查询全部代码为ISCT010611课程" </w:instrText>
            </w:r>
            <w:r>
              <w:fldChar w:fldCharType="separate"/>
            </w:r>
            <w:r>
              <w:rPr>
                <w:rFonts w:ascii="Times New Roman" w:hAnsi="Times New Roman" w:eastAsia="宋体" w:cs="Times New Roman"/>
                <w:kern w:val="0"/>
                <w:sz w:val="20"/>
                <w:szCs w:val="20"/>
              </w:rPr>
              <w:t>ISCT010611</w:t>
            </w:r>
            <w:r>
              <w:rPr>
                <w:rFonts w:ascii="Times New Roman" w:hAnsi="Times New Roman" w:eastAsia="宋体" w:cs="Times New Roman"/>
                <w:kern w:val="0"/>
                <w:sz w:val="20"/>
                <w:szCs w:val="20"/>
              </w:rPr>
              <w:fldChar w:fldCharType="end"/>
            </w:r>
          </w:p>
        </w:tc>
        <w:tc>
          <w:tcPr>
            <w:tcW w:w="741" w:type="pct"/>
            <w:vMerge w:val="continue"/>
            <w:vAlign w:val="center"/>
          </w:tcPr>
          <w:p w14:paraId="3705726B">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Merge w:val="continue"/>
            <w:vAlign w:val="center"/>
          </w:tcPr>
          <w:p w14:paraId="61D517CB">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6E4F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22F5C59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有机化学基础</w:t>
            </w:r>
          </w:p>
        </w:tc>
        <w:tc>
          <w:tcPr>
            <w:tcW w:w="526" w:type="pct"/>
            <w:vMerge w:val="continue"/>
            <w:vAlign w:val="center"/>
          </w:tcPr>
          <w:p w14:paraId="63EE2930">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60" w:type="pct"/>
            <w:vAlign w:val="center"/>
          </w:tcPr>
          <w:p w14:paraId="603390DF">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82" w:type="pct"/>
            <w:vAlign w:val="center"/>
          </w:tcPr>
          <w:p w14:paraId="1E7A08D0">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hint="eastAsia" w:ascii="Times New Roman" w:hAnsi="Times New Roman" w:eastAsia="仿宋" w:cs="Times New Roman"/>
                <w:bCs/>
                <w:color w:val="000000"/>
                <w:kern w:val="28"/>
                <w:sz w:val="20"/>
                <w:szCs w:val="24"/>
              </w:rPr>
              <w:t>MEDI000712</w:t>
            </w:r>
          </w:p>
        </w:tc>
        <w:tc>
          <w:tcPr>
            <w:tcW w:w="741" w:type="pct"/>
            <w:vMerge w:val="continue"/>
            <w:vAlign w:val="center"/>
          </w:tcPr>
          <w:p w14:paraId="01135EF3">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Merge w:val="continue"/>
            <w:vAlign w:val="center"/>
          </w:tcPr>
          <w:p w14:paraId="7CD5C5BF">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0537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63E4C35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物理化学A</w:t>
            </w:r>
          </w:p>
        </w:tc>
        <w:tc>
          <w:tcPr>
            <w:tcW w:w="526" w:type="pct"/>
            <w:vAlign w:val="center"/>
          </w:tcPr>
          <w:p w14:paraId="3FD82446">
            <w:pPr>
              <w:adjustRightInd w:val="0"/>
              <w:snapToGrid w:val="0"/>
              <w:spacing w:line="360" w:lineRule="auto"/>
              <w:outlineLvl w:val="0"/>
              <w:rPr>
                <w:rFonts w:ascii="Times New Roman" w:hAnsi="Times New Roman" w:eastAsia="仿宋" w:cs="Times New Roman"/>
                <w:bCs/>
                <w:color w:val="000000"/>
                <w:kern w:val="28"/>
                <w:sz w:val="20"/>
                <w:szCs w:val="24"/>
              </w:rPr>
            </w:pPr>
          </w:p>
        </w:tc>
        <w:tc>
          <w:tcPr>
            <w:tcW w:w="760" w:type="pct"/>
            <w:vAlign w:val="center"/>
          </w:tcPr>
          <w:p w14:paraId="0B806AE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82" w:type="pct"/>
            <w:vAlign w:val="center"/>
          </w:tcPr>
          <w:p w14:paraId="54854FC3">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ascii="Times New Roman" w:hAnsi="Times New Roman" w:eastAsia="仿宋" w:cs="Times New Roman"/>
                <w:bCs/>
                <w:color w:val="000000"/>
                <w:kern w:val="28"/>
                <w:sz w:val="20"/>
                <w:szCs w:val="24"/>
              </w:rPr>
              <w:t>MASE001312</w:t>
            </w:r>
            <w:r>
              <w:rPr>
                <w:rFonts w:hint="eastAsia" w:ascii="Times New Roman" w:hAnsi="Times New Roman" w:eastAsia="仿宋" w:cs="Times New Roman"/>
                <w:bCs/>
                <w:color w:val="000000"/>
                <w:kern w:val="28"/>
                <w:sz w:val="20"/>
                <w:szCs w:val="24"/>
              </w:rPr>
              <w:t>/MEDI001012</w:t>
            </w:r>
          </w:p>
        </w:tc>
        <w:tc>
          <w:tcPr>
            <w:tcW w:w="741" w:type="pct"/>
            <w:vMerge w:val="restart"/>
            <w:vAlign w:val="center"/>
          </w:tcPr>
          <w:p w14:paraId="1510F7A2">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二年级</w:t>
            </w:r>
          </w:p>
        </w:tc>
        <w:tc>
          <w:tcPr>
            <w:tcW w:w="828" w:type="pct"/>
            <w:vAlign w:val="center"/>
          </w:tcPr>
          <w:p w14:paraId="0AFFDD77">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7F01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2F414617">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材料科学基础AI</w:t>
            </w:r>
          </w:p>
        </w:tc>
        <w:tc>
          <w:tcPr>
            <w:tcW w:w="526" w:type="pct"/>
            <w:vMerge w:val="restart"/>
            <w:vAlign w:val="center"/>
          </w:tcPr>
          <w:p w14:paraId="2991896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任选</w:t>
            </w:r>
          </w:p>
          <w:p w14:paraId="3171505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一门</w:t>
            </w:r>
          </w:p>
        </w:tc>
        <w:tc>
          <w:tcPr>
            <w:tcW w:w="760" w:type="pct"/>
            <w:vAlign w:val="center"/>
          </w:tcPr>
          <w:p w14:paraId="23268E2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4</w:t>
            </w:r>
          </w:p>
        </w:tc>
        <w:tc>
          <w:tcPr>
            <w:tcW w:w="982" w:type="pct"/>
            <w:vAlign w:val="center"/>
          </w:tcPr>
          <w:p w14:paraId="74D3E5A8">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hint="eastAsia" w:ascii="Times New Roman" w:hAnsi="Times New Roman" w:eastAsia="仿宋" w:cs="Times New Roman"/>
                <w:bCs/>
                <w:color w:val="000000"/>
                <w:kern w:val="28"/>
                <w:sz w:val="20"/>
                <w:szCs w:val="24"/>
              </w:rPr>
              <w:t>MASE005712</w:t>
            </w:r>
          </w:p>
        </w:tc>
        <w:tc>
          <w:tcPr>
            <w:tcW w:w="741" w:type="pct"/>
            <w:vMerge w:val="continue"/>
            <w:vAlign w:val="center"/>
          </w:tcPr>
          <w:p w14:paraId="4B3B5A2D">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center"/>
          </w:tcPr>
          <w:p w14:paraId="44B5ADEE">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4FC9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07C22D39">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材料科学基础AII</w:t>
            </w:r>
          </w:p>
        </w:tc>
        <w:tc>
          <w:tcPr>
            <w:tcW w:w="526" w:type="pct"/>
            <w:vMerge w:val="continue"/>
            <w:vAlign w:val="center"/>
          </w:tcPr>
          <w:p w14:paraId="11664284">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60" w:type="pct"/>
            <w:vAlign w:val="center"/>
          </w:tcPr>
          <w:p w14:paraId="0FE44802">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82" w:type="pct"/>
            <w:vAlign w:val="center"/>
          </w:tcPr>
          <w:p w14:paraId="28A4674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MASE005812</w:t>
            </w:r>
          </w:p>
        </w:tc>
        <w:tc>
          <w:tcPr>
            <w:tcW w:w="741" w:type="pct"/>
            <w:vMerge w:val="continue"/>
            <w:vAlign w:val="center"/>
          </w:tcPr>
          <w:p w14:paraId="3F8F4DA8">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center"/>
          </w:tcPr>
          <w:p w14:paraId="1E36C07C">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71CA4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160" w:type="pct"/>
            <w:vAlign w:val="center"/>
          </w:tcPr>
          <w:p w14:paraId="693E3E2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材料科学基础B</w:t>
            </w:r>
          </w:p>
        </w:tc>
        <w:tc>
          <w:tcPr>
            <w:tcW w:w="526" w:type="pct"/>
            <w:vMerge w:val="continue"/>
            <w:vAlign w:val="center"/>
          </w:tcPr>
          <w:p w14:paraId="41FDB657">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60" w:type="pct"/>
            <w:vAlign w:val="center"/>
          </w:tcPr>
          <w:p w14:paraId="794FF9CD">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82" w:type="pct"/>
            <w:vAlign w:val="center"/>
          </w:tcPr>
          <w:p w14:paraId="050109A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MEDI007712</w:t>
            </w:r>
          </w:p>
        </w:tc>
        <w:tc>
          <w:tcPr>
            <w:tcW w:w="741" w:type="pct"/>
            <w:vMerge w:val="continue"/>
            <w:vAlign w:val="center"/>
          </w:tcPr>
          <w:p w14:paraId="1D3D9BA2">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28" w:type="pct"/>
            <w:vAlign w:val="center"/>
          </w:tcPr>
          <w:p w14:paraId="1F785104">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bookmarkStart w:id="4" w:name="_GoBack"/>
            <w:bookmarkEnd w:id="4"/>
            <w:r>
              <w:rPr>
                <w:rFonts w:hint="eastAsia" w:ascii="Times New Roman" w:hAnsi="Times New Roman" w:eastAsia="仿宋" w:cs="Times New Roman"/>
                <w:bCs/>
                <w:color w:val="000000"/>
                <w:kern w:val="28"/>
                <w:sz w:val="20"/>
                <w:szCs w:val="24"/>
              </w:rPr>
              <w:t>75</w:t>
            </w:r>
          </w:p>
        </w:tc>
      </w:tr>
    </w:tbl>
    <w:p w14:paraId="6CEE0CE1">
      <w:pPr>
        <w:spacing w:line="360" w:lineRule="auto"/>
        <w:ind w:firstLine="480" w:firstLineChars="200"/>
        <w:jc w:val="left"/>
        <w:rPr>
          <w:rFonts w:ascii="Times New Roman" w:hAnsi="Times New Roman" w:eastAsia="仿宋" w:cs="Times New Roman"/>
          <w:color w:val="000000"/>
          <w:sz w:val="24"/>
        </w:rPr>
      </w:pPr>
      <w:r>
        <w:rPr>
          <w:rFonts w:ascii="Times New Roman" w:hAnsi="Times New Roman" w:eastAsia="仿宋" w:cs="Times New Roman"/>
          <w:color w:val="000000"/>
          <w:sz w:val="24"/>
        </w:rPr>
        <w:t>2、化学专业准入课程：</w:t>
      </w:r>
    </w:p>
    <w:tbl>
      <w:tblPr>
        <w:tblStyle w:val="6"/>
        <w:tblW w:w="46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9"/>
        <w:gridCol w:w="772"/>
        <w:gridCol w:w="1107"/>
        <w:gridCol w:w="1482"/>
        <w:gridCol w:w="1199"/>
        <w:gridCol w:w="1388"/>
      </w:tblGrid>
      <w:tr w14:paraId="7FD7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pct"/>
            <w:gridSpan w:val="2"/>
            <w:vAlign w:val="center"/>
          </w:tcPr>
          <w:p w14:paraId="037115D1">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课程名称</w:t>
            </w:r>
          </w:p>
        </w:tc>
        <w:tc>
          <w:tcPr>
            <w:tcW w:w="700" w:type="pct"/>
            <w:vAlign w:val="center"/>
          </w:tcPr>
          <w:p w14:paraId="6005795D">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课程学分</w:t>
            </w:r>
          </w:p>
        </w:tc>
        <w:tc>
          <w:tcPr>
            <w:tcW w:w="936" w:type="pct"/>
            <w:vAlign w:val="center"/>
          </w:tcPr>
          <w:p w14:paraId="4D0DBC60">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课程代码</w:t>
            </w:r>
          </w:p>
        </w:tc>
        <w:tc>
          <w:tcPr>
            <w:tcW w:w="758" w:type="pct"/>
            <w:vAlign w:val="center"/>
          </w:tcPr>
          <w:p w14:paraId="687AEFC7">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面向年级</w:t>
            </w:r>
          </w:p>
        </w:tc>
        <w:tc>
          <w:tcPr>
            <w:tcW w:w="877" w:type="pct"/>
            <w:vAlign w:val="center"/>
          </w:tcPr>
          <w:p w14:paraId="6D661240">
            <w:pPr>
              <w:adjustRightInd w:val="0"/>
              <w:snapToGrid w:val="0"/>
              <w:spacing w:line="360" w:lineRule="auto"/>
              <w:jc w:val="center"/>
              <w:outlineLvl w:val="0"/>
              <w:rPr>
                <w:rFonts w:ascii="Times New Roman" w:hAnsi="Times New Roman" w:eastAsia="仿宋" w:cs="Times New Roman"/>
                <w:b/>
                <w:color w:val="000000"/>
                <w:kern w:val="28"/>
                <w:sz w:val="20"/>
                <w:szCs w:val="24"/>
              </w:rPr>
            </w:pPr>
            <w:r>
              <w:rPr>
                <w:rFonts w:ascii="Times New Roman" w:hAnsi="Times New Roman" w:eastAsia="仿宋" w:cs="Times New Roman"/>
                <w:b/>
                <w:color w:val="000000"/>
                <w:kern w:val="28"/>
                <w:sz w:val="20"/>
                <w:szCs w:val="24"/>
              </w:rPr>
              <w:t>成绩要求</w:t>
            </w:r>
          </w:p>
        </w:tc>
      </w:tr>
      <w:tr w14:paraId="3EE9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pct"/>
            <w:gridSpan w:val="2"/>
            <w:vAlign w:val="center"/>
          </w:tcPr>
          <w:p w14:paraId="79BE213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英语I</w:t>
            </w:r>
          </w:p>
        </w:tc>
        <w:tc>
          <w:tcPr>
            <w:tcW w:w="700" w:type="pct"/>
            <w:vAlign w:val="center"/>
          </w:tcPr>
          <w:p w14:paraId="0E0DECEB">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4746990F">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SoFL001511</w:t>
            </w:r>
          </w:p>
        </w:tc>
        <w:tc>
          <w:tcPr>
            <w:tcW w:w="758" w:type="pct"/>
            <w:vMerge w:val="restart"/>
            <w:vAlign w:val="center"/>
          </w:tcPr>
          <w:p w14:paraId="1DB3BA5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一年级</w:t>
            </w:r>
          </w:p>
        </w:tc>
        <w:tc>
          <w:tcPr>
            <w:tcW w:w="877" w:type="pct"/>
            <w:vAlign w:val="center"/>
          </w:tcPr>
          <w:p w14:paraId="6BC6A65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28012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6" w:type="pct"/>
            <w:gridSpan w:val="2"/>
            <w:vAlign w:val="center"/>
          </w:tcPr>
          <w:p w14:paraId="2F134B5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英语</w:t>
            </w:r>
            <w:r>
              <w:rPr>
                <w:rFonts w:ascii="Times New Roman" w:hAnsi="Times New Roman" w:eastAsia="仿宋" w:cs="Times New Roman"/>
                <w:bCs/>
                <w:color w:val="000000"/>
                <w:kern w:val="28"/>
                <w:sz w:val="20"/>
                <w:szCs w:val="24"/>
              </w:rPr>
              <w:t>II</w:t>
            </w:r>
          </w:p>
        </w:tc>
        <w:tc>
          <w:tcPr>
            <w:tcW w:w="700" w:type="pct"/>
            <w:vAlign w:val="center"/>
          </w:tcPr>
          <w:p w14:paraId="2931145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4A3339F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SoFL000512</w:t>
            </w:r>
          </w:p>
        </w:tc>
        <w:tc>
          <w:tcPr>
            <w:tcW w:w="758" w:type="pct"/>
            <w:vMerge w:val="continue"/>
            <w:vAlign w:val="center"/>
          </w:tcPr>
          <w:p w14:paraId="3ACB4A7F">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Align w:val="center"/>
          </w:tcPr>
          <w:p w14:paraId="72046E5B">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27F92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0690DDF9">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工程化学A</w:t>
            </w:r>
          </w:p>
        </w:tc>
        <w:tc>
          <w:tcPr>
            <w:tcW w:w="488" w:type="pct"/>
            <w:vMerge w:val="restart"/>
            <w:vAlign w:val="center"/>
          </w:tcPr>
          <w:p w14:paraId="53FD8A9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任选</w:t>
            </w:r>
          </w:p>
          <w:p w14:paraId="37A38E29">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一门</w:t>
            </w:r>
          </w:p>
        </w:tc>
        <w:tc>
          <w:tcPr>
            <w:tcW w:w="700" w:type="pct"/>
            <w:vAlign w:val="center"/>
          </w:tcPr>
          <w:p w14:paraId="71F2D9AD">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3</w:t>
            </w:r>
          </w:p>
        </w:tc>
        <w:tc>
          <w:tcPr>
            <w:tcW w:w="936" w:type="pct"/>
            <w:vAlign w:val="center"/>
          </w:tcPr>
          <w:p w14:paraId="604C32DC">
            <w:pPr>
              <w:adjustRightInd w:val="0"/>
              <w:snapToGrid w:val="0"/>
              <w:spacing w:line="360" w:lineRule="auto"/>
              <w:jc w:val="center"/>
              <w:outlineLvl w:val="0"/>
              <w:rPr>
                <w:rFonts w:ascii="Times New Roman" w:hAnsi="Times New Roman" w:eastAsia="仿宋" w:cs="Times New Roman"/>
                <w:bCs/>
                <w:color w:val="000000"/>
                <w:kern w:val="28"/>
                <w:sz w:val="20"/>
                <w:szCs w:val="24"/>
              </w:rPr>
            </w:pPr>
            <w:r>
              <w:fldChar w:fldCharType="begin"/>
            </w:r>
            <w:r>
              <w:instrText xml:space="preserve"> HYPERLINK "javascript:setQuery('CourseCode','CHEM001512')" \o "点击查询全部代码为CHEM001512课程" </w:instrText>
            </w:r>
            <w:r>
              <w:fldChar w:fldCharType="separate"/>
            </w:r>
            <w:r>
              <w:rPr>
                <w:rFonts w:ascii="Times New Roman" w:hAnsi="Times New Roman" w:eastAsia="宋体" w:cs="Times New Roman"/>
                <w:kern w:val="0"/>
                <w:sz w:val="20"/>
                <w:szCs w:val="20"/>
              </w:rPr>
              <w:t>CHEM001</w:t>
            </w:r>
            <w:r>
              <w:rPr>
                <w:rFonts w:hint="eastAsia" w:ascii="Times New Roman" w:hAnsi="Times New Roman" w:eastAsia="宋体" w:cs="Times New Roman"/>
                <w:kern w:val="0"/>
                <w:sz w:val="20"/>
                <w:szCs w:val="20"/>
              </w:rPr>
              <w:t>7</w:t>
            </w:r>
            <w:r>
              <w:rPr>
                <w:rFonts w:ascii="Times New Roman" w:hAnsi="Times New Roman" w:eastAsia="宋体" w:cs="Times New Roman"/>
                <w:kern w:val="0"/>
                <w:sz w:val="20"/>
                <w:szCs w:val="20"/>
              </w:rPr>
              <w:t>12</w:t>
            </w:r>
            <w:r>
              <w:rPr>
                <w:rFonts w:ascii="Times New Roman" w:hAnsi="Times New Roman" w:eastAsia="宋体" w:cs="Times New Roman"/>
                <w:kern w:val="0"/>
                <w:sz w:val="20"/>
                <w:szCs w:val="20"/>
              </w:rPr>
              <w:fldChar w:fldCharType="end"/>
            </w:r>
          </w:p>
        </w:tc>
        <w:tc>
          <w:tcPr>
            <w:tcW w:w="758" w:type="pct"/>
            <w:vMerge w:val="continue"/>
            <w:vAlign w:val="center"/>
          </w:tcPr>
          <w:p w14:paraId="7CDF216E">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restart"/>
            <w:vAlign w:val="center"/>
          </w:tcPr>
          <w:p w14:paraId="57B7174C">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p w14:paraId="0623FF6F">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0944E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69752A1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工程化学B</w:t>
            </w:r>
          </w:p>
        </w:tc>
        <w:tc>
          <w:tcPr>
            <w:tcW w:w="488" w:type="pct"/>
            <w:vMerge w:val="continue"/>
            <w:vAlign w:val="center"/>
          </w:tcPr>
          <w:p w14:paraId="04487630">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00" w:type="pct"/>
            <w:vAlign w:val="center"/>
          </w:tcPr>
          <w:p w14:paraId="4EDD5C52">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2.5</w:t>
            </w:r>
          </w:p>
        </w:tc>
        <w:tc>
          <w:tcPr>
            <w:tcW w:w="936" w:type="pct"/>
            <w:vAlign w:val="center"/>
          </w:tcPr>
          <w:p w14:paraId="1D2BA210">
            <w:pPr>
              <w:adjustRightInd w:val="0"/>
              <w:snapToGrid w:val="0"/>
              <w:spacing w:line="360" w:lineRule="auto"/>
              <w:jc w:val="center"/>
              <w:outlineLvl w:val="0"/>
              <w:rPr>
                <w:rFonts w:ascii="Times New Roman" w:hAnsi="Times New Roman" w:eastAsia="宋体" w:cs="Times New Roman"/>
                <w:kern w:val="0"/>
                <w:sz w:val="20"/>
                <w:szCs w:val="20"/>
              </w:rPr>
            </w:pPr>
            <w:r>
              <w:rPr>
                <w:rFonts w:hint="eastAsia" w:ascii="Times New Roman" w:hAnsi="Times New Roman" w:eastAsia="仿宋" w:cs="Times New Roman"/>
                <w:bCs/>
                <w:color w:val="000000"/>
                <w:kern w:val="28"/>
                <w:sz w:val="20"/>
                <w:szCs w:val="24"/>
              </w:rPr>
              <w:t>CHEM004812</w:t>
            </w:r>
          </w:p>
        </w:tc>
        <w:tc>
          <w:tcPr>
            <w:tcW w:w="758" w:type="pct"/>
            <w:vMerge w:val="continue"/>
            <w:vAlign w:val="center"/>
          </w:tcPr>
          <w:p w14:paraId="2DF50559">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2BDAF064">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2D15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5D2BEB6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工程化学C</w:t>
            </w:r>
          </w:p>
        </w:tc>
        <w:tc>
          <w:tcPr>
            <w:tcW w:w="488" w:type="pct"/>
            <w:vMerge w:val="continue"/>
            <w:vAlign w:val="center"/>
          </w:tcPr>
          <w:p w14:paraId="6AE9109D">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00" w:type="pct"/>
            <w:vAlign w:val="center"/>
          </w:tcPr>
          <w:p w14:paraId="78F31BCB">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217E41B2">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CHEM004912</w:t>
            </w:r>
          </w:p>
        </w:tc>
        <w:tc>
          <w:tcPr>
            <w:tcW w:w="758" w:type="pct"/>
            <w:vMerge w:val="continue"/>
            <w:vAlign w:val="center"/>
          </w:tcPr>
          <w:p w14:paraId="03AB0264">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528756B2">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35D8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42234A1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工程化学</w:t>
            </w:r>
          </w:p>
        </w:tc>
        <w:tc>
          <w:tcPr>
            <w:tcW w:w="488" w:type="pct"/>
            <w:vMerge w:val="continue"/>
            <w:vAlign w:val="center"/>
          </w:tcPr>
          <w:p w14:paraId="53DE0E86">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00" w:type="pct"/>
            <w:vAlign w:val="center"/>
          </w:tcPr>
          <w:p w14:paraId="50F4D72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3B3DC832">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fldChar w:fldCharType="begin"/>
            </w:r>
            <w:r>
              <w:instrText xml:space="preserve"> HYPERLINK "javascript:setQuery('CourseCode','ISCT010611')" \o "点击查询全部代码为ISCT010611课程" </w:instrText>
            </w:r>
            <w:r>
              <w:fldChar w:fldCharType="separate"/>
            </w:r>
            <w:r>
              <w:rPr>
                <w:rFonts w:ascii="Times New Roman" w:hAnsi="Times New Roman" w:eastAsia="宋体" w:cs="Times New Roman"/>
                <w:kern w:val="0"/>
                <w:sz w:val="20"/>
                <w:szCs w:val="20"/>
              </w:rPr>
              <w:t>ISCT010611</w:t>
            </w:r>
            <w:r>
              <w:rPr>
                <w:rFonts w:ascii="Times New Roman" w:hAnsi="Times New Roman" w:eastAsia="宋体" w:cs="Times New Roman"/>
                <w:kern w:val="0"/>
                <w:sz w:val="20"/>
                <w:szCs w:val="20"/>
              </w:rPr>
              <w:fldChar w:fldCharType="end"/>
            </w:r>
          </w:p>
        </w:tc>
        <w:tc>
          <w:tcPr>
            <w:tcW w:w="758" w:type="pct"/>
            <w:vMerge w:val="continue"/>
            <w:vAlign w:val="center"/>
          </w:tcPr>
          <w:p w14:paraId="46743C63">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23DDA4CD">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38AF1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0738802B">
            <w:pPr>
              <w:adjustRightInd w:val="0"/>
              <w:snapToGrid w:val="0"/>
              <w:spacing w:line="360" w:lineRule="auto"/>
              <w:jc w:val="center"/>
              <w:outlineLvl w:val="0"/>
              <w:rPr>
                <w:rFonts w:ascii="Times New Roman" w:hAnsi="Times New Roman" w:eastAsia="仿宋" w:cs="Times New Roman"/>
                <w:bCs/>
                <w:color w:val="000000"/>
                <w:kern w:val="28"/>
                <w:sz w:val="20"/>
                <w:szCs w:val="24"/>
                <w:highlight w:val="yellow"/>
              </w:rPr>
            </w:pPr>
            <w:r>
              <w:rPr>
                <w:rFonts w:hint="eastAsia" w:eastAsia="仿宋"/>
              </w:rPr>
              <w:t>无机与分析化学</w:t>
            </w:r>
          </w:p>
        </w:tc>
        <w:tc>
          <w:tcPr>
            <w:tcW w:w="488" w:type="pct"/>
            <w:vMerge w:val="continue"/>
            <w:vAlign w:val="center"/>
          </w:tcPr>
          <w:p w14:paraId="26D40360">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00" w:type="pct"/>
            <w:vAlign w:val="center"/>
          </w:tcPr>
          <w:p w14:paraId="6A1B002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4</w:t>
            </w:r>
          </w:p>
        </w:tc>
        <w:tc>
          <w:tcPr>
            <w:tcW w:w="936" w:type="pct"/>
            <w:vAlign w:val="center"/>
          </w:tcPr>
          <w:p w14:paraId="5C855AF3">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SLSE000412</w:t>
            </w:r>
          </w:p>
        </w:tc>
        <w:tc>
          <w:tcPr>
            <w:tcW w:w="758" w:type="pct"/>
            <w:vMerge w:val="continue"/>
            <w:vAlign w:val="center"/>
          </w:tcPr>
          <w:p w14:paraId="4C29A010">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346F100D">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2B65A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3FA819E5">
            <w:pPr>
              <w:adjustRightInd w:val="0"/>
              <w:snapToGrid w:val="0"/>
              <w:spacing w:line="360" w:lineRule="auto"/>
              <w:outlineLvl w:val="0"/>
              <w:rPr>
                <w:rFonts w:ascii="Times New Roman" w:hAnsi="Times New Roman" w:eastAsia="仿宋" w:cs="Times New Roman"/>
                <w:bCs/>
                <w:color w:val="000000"/>
                <w:kern w:val="28"/>
                <w:sz w:val="20"/>
                <w:szCs w:val="24"/>
              </w:rPr>
            </w:pPr>
            <w:r>
              <w:rPr>
                <w:rFonts w:ascii="Times New Roman" w:hAnsi="Times New Roman" w:eastAsia="仿宋" w:cs="Times New Roman"/>
                <w:bCs/>
                <w:color w:val="000000"/>
                <w:kern w:val="28"/>
                <w:sz w:val="20"/>
                <w:szCs w:val="24"/>
              </w:rPr>
              <w:t>无机及分析化学BⅠ</w:t>
            </w:r>
          </w:p>
        </w:tc>
        <w:tc>
          <w:tcPr>
            <w:tcW w:w="488" w:type="pct"/>
            <w:vMerge w:val="continue"/>
            <w:vAlign w:val="center"/>
          </w:tcPr>
          <w:p w14:paraId="4C96D5E3">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74A7E36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34BD99E0">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CHEM000712</w:t>
            </w:r>
          </w:p>
        </w:tc>
        <w:tc>
          <w:tcPr>
            <w:tcW w:w="758" w:type="pct"/>
            <w:vMerge w:val="continue"/>
            <w:vAlign w:val="center"/>
          </w:tcPr>
          <w:p w14:paraId="5355F454">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1BCE36C9">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68916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4DF23227">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无机及分析化学BII</w:t>
            </w:r>
          </w:p>
        </w:tc>
        <w:tc>
          <w:tcPr>
            <w:tcW w:w="488" w:type="pct"/>
            <w:vMerge w:val="continue"/>
            <w:vAlign w:val="center"/>
          </w:tcPr>
          <w:p w14:paraId="149FECEF">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00" w:type="pct"/>
            <w:vAlign w:val="center"/>
          </w:tcPr>
          <w:p w14:paraId="5F7AF3C2">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0AE6416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CHEM000912</w:t>
            </w:r>
          </w:p>
        </w:tc>
        <w:tc>
          <w:tcPr>
            <w:tcW w:w="758" w:type="pct"/>
            <w:vMerge w:val="continue"/>
            <w:vAlign w:val="center"/>
          </w:tcPr>
          <w:p w14:paraId="3E67E3C9">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329A67EB">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29F3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40E1A6A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无机与分析化学B</w:t>
            </w:r>
          </w:p>
        </w:tc>
        <w:tc>
          <w:tcPr>
            <w:tcW w:w="488" w:type="pct"/>
            <w:vMerge w:val="continue"/>
            <w:vAlign w:val="center"/>
          </w:tcPr>
          <w:p w14:paraId="7D00181E">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700" w:type="pct"/>
            <w:vAlign w:val="center"/>
          </w:tcPr>
          <w:p w14:paraId="72CF019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36" w:type="pct"/>
            <w:vAlign w:val="center"/>
          </w:tcPr>
          <w:p w14:paraId="276356B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SLSE017312</w:t>
            </w:r>
          </w:p>
        </w:tc>
        <w:tc>
          <w:tcPr>
            <w:tcW w:w="758" w:type="pct"/>
            <w:vMerge w:val="continue"/>
            <w:vAlign w:val="center"/>
          </w:tcPr>
          <w:p w14:paraId="696D2591">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3A574366">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29A3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5F4B35D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有机化学A</w:t>
            </w:r>
          </w:p>
        </w:tc>
        <w:tc>
          <w:tcPr>
            <w:tcW w:w="488" w:type="pct"/>
            <w:vMerge w:val="restart"/>
            <w:vAlign w:val="center"/>
          </w:tcPr>
          <w:p w14:paraId="612F960F">
            <w:pPr>
              <w:adjustRightInd w:val="0"/>
              <w:snapToGrid w:val="0"/>
              <w:spacing w:line="360" w:lineRule="auto"/>
              <w:jc w:val="left"/>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任选</w:t>
            </w:r>
          </w:p>
          <w:p w14:paraId="7172C873">
            <w:pPr>
              <w:adjustRightInd w:val="0"/>
              <w:snapToGrid w:val="0"/>
              <w:spacing w:line="360" w:lineRule="auto"/>
              <w:jc w:val="left"/>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一门</w:t>
            </w:r>
          </w:p>
        </w:tc>
        <w:tc>
          <w:tcPr>
            <w:tcW w:w="700" w:type="pct"/>
            <w:vAlign w:val="center"/>
          </w:tcPr>
          <w:p w14:paraId="729B9B6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4</w:t>
            </w:r>
          </w:p>
        </w:tc>
        <w:tc>
          <w:tcPr>
            <w:tcW w:w="936" w:type="pct"/>
            <w:vAlign w:val="center"/>
          </w:tcPr>
          <w:p w14:paraId="29C3CFE9">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CHEM001312</w:t>
            </w:r>
          </w:p>
        </w:tc>
        <w:tc>
          <w:tcPr>
            <w:tcW w:w="758" w:type="pct"/>
            <w:vMerge w:val="restart"/>
            <w:vAlign w:val="center"/>
          </w:tcPr>
          <w:p w14:paraId="13C4E15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二年级</w:t>
            </w:r>
          </w:p>
        </w:tc>
        <w:tc>
          <w:tcPr>
            <w:tcW w:w="877" w:type="pct"/>
            <w:vMerge w:val="restart"/>
            <w:vAlign w:val="center"/>
          </w:tcPr>
          <w:p w14:paraId="44AF4843">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p w14:paraId="44ADA65B">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1762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2C280E23">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有机化学B</w:t>
            </w:r>
          </w:p>
        </w:tc>
        <w:tc>
          <w:tcPr>
            <w:tcW w:w="488" w:type="pct"/>
            <w:vMerge w:val="continue"/>
            <w:vAlign w:val="center"/>
          </w:tcPr>
          <w:p w14:paraId="448E1121">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06F97BC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135A6966">
            <w:pPr>
              <w:adjustRightInd w:val="0"/>
              <w:snapToGrid w:val="0"/>
              <w:spacing w:line="360" w:lineRule="auto"/>
              <w:jc w:val="center"/>
              <w:outlineLvl w:val="0"/>
              <w:rPr>
                <w:rFonts w:ascii="Times New Roman" w:hAnsi="Times New Roman" w:eastAsia="仿宋" w:cs="Times New Roman"/>
                <w:b/>
                <w:bCs/>
                <w:color w:val="000000"/>
                <w:kern w:val="28"/>
                <w:sz w:val="20"/>
                <w:szCs w:val="24"/>
              </w:rPr>
            </w:pPr>
            <w:r>
              <w:rPr>
                <w:rFonts w:hint="eastAsia" w:ascii="Times New Roman" w:hAnsi="Times New Roman" w:eastAsia="仿宋" w:cs="Times New Roman"/>
                <w:bCs/>
                <w:color w:val="000000"/>
                <w:kern w:val="28"/>
                <w:sz w:val="20"/>
                <w:szCs w:val="24"/>
              </w:rPr>
              <w:t>CHEM000412</w:t>
            </w:r>
          </w:p>
        </w:tc>
        <w:tc>
          <w:tcPr>
            <w:tcW w:w="758" w:type="pct"/>
            <w:vMerge w:val="continue"/>
            <w:vAlign w:val="center"/>
          </w:tcPr>
          <w:p w14:paraId="55558515">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2B31AFB2">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7B55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206A45FA">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有机化学AI</w:t>
            </w:r>
          </w:p>
        </w:tc>
        <w:tc>
          <w:tcPr>
            <w:tcW w:w="488" w:type="pct"/>
            <w:vMerge w:val="continue"/>
            <w:vAlign w:val="center"/>
          </w:tcPr>
          <w:p w14:paraId="3E2D042F">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37C276C9">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36" w:type="pct"/>
            <w:vAlign w:val="center"/>
          </w:tcPr>
          <w:p w14:paraId="6A7026C5">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SLSE010012</w:t>
            </w:r>
          </w:p>
        </w:tc>
        <w:tc>
          <w:tcPr>
            <w:tcW w:w="758" w:type="pct"/>
            <w:vMerge w:val="continue"/>
            <w:vAlign w:val="center"/>
          </w:tcPr>
          <w:p w14:paraId="03B4FB1A">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1B3FA372">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4C22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22AEC00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有机化学AII</w:t>
            </w:r>
          </w:p>
        </w:tc>
        <w:tc>
          <w:tcPr>
            <w:tcW w:w="488" w:type="pct"/>
            <w:vMerge w:val="continue"/>
            <w:vAlign w:val="center"/>
          </w:tcPr>
          <w:p w14:paraId="1CD949B8">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16C499A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36" w:type="pct"/>
            <w:vAlign w:val="center"/>
          </w:tcPr>
          <w:p w14:paraId="1725053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SLSE010112</w:t>
            </w:r>
          </w:p>
        </w:tc>
        <w:tc>
          <w:tcPr>
            <w:tcW w:w="758" w:type="pct"/>
            <w:vMerge w:val="continue"/>
            <w:vAlign w:val="center"/>
          </w:tcPr>
          <w:p w14:paraId="695B41E1">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47ACCFFF">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29AD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38" w:type="pct"/>
            <w:vAlign w:val="center"/>
          </w:tcPr>
          <w:p w14:paraId="309D445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有机化学BI</w:t>
            </w:r>
          </w:p>
        </w:tc>
        <w:tc>
          <w:tcPr>
            <w:tcW w:w="488" w:type="pct"/>
            <w:vMerge w:val="continue"/>
            <w:vAlign w:val="center"/>
          </w:tcPr>
          <w:p w14:paraId="25525C3F">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365B78E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0AFF427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SLSE002712</w:t>
            </w:r>
          </w:p>
        </w:tc>
        <w:tc>
          <w:tcPr>
            <w:tcW w:w="758" w:type="pct"/>
            <w:vMerge w:val="continue"/>
            <w:vAlign w:val="center"/>
          </w:tcPr>
          <w:p w14:paraId="5D6321F6">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30D7F326">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3DF1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44A3C346">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有机化学BII</w:t>
            </w:r>
          </w:p>
        </w:tc>
        <w:tc>
          <w:tcPr>
            <w:tcW w:w="488" w:type="pct"/>
            <w:vMerge w:val="continue"/>
            <w:vAlign w:val="center"/>
          </w:tcPr>
          <w:p w14:paraId="3B823380">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47228F08">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25D77C16">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SLSE002812</w:t>
            </w:r>
          </w:p>
        </w:tc>
        <w:tc>
          <w:tcPr>
            <w:tcW w:w="758" w:type="pct"/>
            <w:vMerge w:val="continue"/>
            <w:vAlign w:val="center"/>
          </w:tcPr>
          <w:p w14:paraId="66D7B3BA">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4A0269C3">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5B6C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2000B963">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有机化学基础</w:t>
            </w:r>
          </w:p>
        </w:tc>
        <w:tc>
          <w:tcPr>
            <w:tcW w:w="488" w:type="pct"/>
            <w:vMerge w:val="continue"/>
            <w:vAlign w:val="center"/>
          </w:tcPr>
          <w:p w14:paraId="5F2F655F">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24640EF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36" w:type="pct"/>
            <w:vAlign w:val="center"/>
          </w:tcPr>
          <w:p w14:paraId="4A2AD957">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MEDI000712</w:t>
            </w:r>
          </w:p>
        </w:tc>
        <w:tc>
          <w:tcPr>
            <w:tcW w:w="758" w:type="pct"/>
            <w:vMerge w:val="continue"/>
            <w:vAlign w:val="center"/>
          </w:tcPr>
          <w:p w14:paraId="37C531AD">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1F3A6207">
            <w:pPr>
              <w:adjustRightInd w:val="0"/>
              <w:snapToGrid w:val="0"/>
              <w:spacing w:line="360" w:lineRule="auto"/>
              <w:jc w:val="center"/>
              <w:outlineLvl w:val="0"/>
              <w:rPr>
                <w:rFonts w:hint="eastAsia" w:ascii="宋体" w:hAnsi="宋体" w:eastAsia="宋体" w:cs="宋体"/>
                <w:bCs/>
                <w:color w:val="000000"/>
                <w:kern w:val="28"/>
                <w:sz w:val="20"/>
                <w:szCs w:val="24"/>
              </w:rPr>
            </w:pPr>
          </w:p>
        </w:tc>
      </w:tr>
      <w:tr w14:paraId="7B2C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29FBF321">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物理化学A</w:t>
            </w:r>
          </w:p>
        </w:tc>
        <w:tc>
          <w:tcPr>
            <w:tcW w:w="488" w:type="pct"/>
            <w:vMerge w:val="restart"/>
            <w:vAlign w:val="center"/>
          </w:tcPr>
          <w:p w14:paraId="42B4A5FC">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任选一门</w:t>
            </w:r>
          </w:p>
        </w:tc>
        <w:tc>
          <w:tcPr>
            <w:tcW w:w="700" w:type="pct"/>
            <w:vAlign w:val="center"/>
          </w:tcPr>
          <w:p w14:paraId="0A26D69E">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3</w:t>
            </w:r>
          </w:p>
        </w:tc>
        <w:tc>
          <w:tcPr>
            <w:tcW w:w="936" w:type="pct"/>
            <w:vAlign w:val="center"/>
          </w:tcPr>
          <w:p w14:paraId="5EEACD8B">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CHEM005312/SLSE006912/MEDI001012/MASE001312</w:t>
            </w:r>
          </w:p>
        </w:tc>
        <w:tc>
          <w:tcPr>
            <w:tcW w:w="758" w:type="pct"/>
            <w:vMerge w:val="continue"/>
            <w:vAlign w:val="center"/>
          </w:tcPr>
          <w:p w14:paraId="688B289A">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restart"/>
            <w:vAlign w:val="center"/>
          </w:tcPr>
          <w:p w14:paraId="5F31B9F6">
            <w:pPr>
              <w:adjustRightInd w:val="0"/>
              <w:snapToGrid w:val="0"/>
              <w:spacing w:line="360" w:lineRule="auto"/>
              <w:jc w:val="center"/>
              <w:outlineLvl w:val="0"/>
              <w:rPr>
                <w:rFonts w:hint="eastAsia" w:ascii="宋体" w:hAnsi="宋体" w:eastAsia="宋体" w:cs="宋体"/>
                <w:bCs/>
                <w:color w:val="000000"/>
                <w:kern w:val="28"/>
                <w:sz w:val="20"/>
                <w:szCs w:val="24"/>
              </w:rPr>
            </w:pPr>
            <w:r>
              <w:rPr>
                <w:rFonts w:hint="eastAsia" w:ascii="宋体" w:hAnsi="宋体" w:eastAsia="宋体" w:cs="宋体"/>
                <w:bCs/>
                <w:color w:val="000000"/>
                <w:kern w:val="28"/>
                <w:sz w:val="20"/>
                <w:szCs w:val="24"/>
              </w:rPr>
              <w:t>≧</w:t>
            </w:r>
            <w:r>
              <w:rPr>
                <w:rFonts w:hint="eastAsia" w:ascii="Times New Roman" w:hAnsi="Times New Roman" w:eastAsia="仿宋" w:cs="Times New Roman"/>
                <w:bCs/>
                <w:color w:val="000000"/>
                <w:kern w:val="28"/>
                <w:sz w:val="20"/>
                <w:szCs w:val="24"/>
              </w:rPr>
              <w:t>75</w:t>
            </w:r>
          </w:p>
        </w:tc>
      </w:tr>
      <w:tr w14:paraId="778C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8" w:type="pct"/>
            <w:vAlign w:val="center"/>
          </w:tcPr>
          <w:p w14:paraId="7EDA4D44">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物理化学B</w:t>
            </w:r>
          </w:p>
        </w:tc>
        <w:tc>
          <w:tcPr>
            <w:tcW w:w="488" w:type="pct"/>
            <w:vMerge w:val="continue"/>
            <w:vAlign w:val="center"/>
          </w:tcPr>
          <w:p w14:paraId="3121571E">
            <w:pPr>
              <w:adjustRightInd w:val="0"/>
              <w:snapToGrid w:val="0"/>
              <w:spacing w:line="360" w:lineRule="auto"/>
              <w:jc w:val="left"/>
              <w:outlineLvl w:val="0"/>
              <w:rPr>
                <w:rFonts w:ascii="Times New Roman" w:hAnsi="Times New Roman" w:eastAsia="仿宋" w:cs="Times New Roman"/>
                <w:bCs/>
                <w:color w:val="000000"/>
                <w:kern w:val="28"/>
                <w:sz w:val="20"/>
                <w:szCs w:val="24"/>
              </w:rPr>
            </w:pPr>
          </w:p>
        </w:tc>
        <w:tc>
          <w:tcPr>
            <w:tcW w:w="700" w:type="pct"/>
            <w:vAlign w:val="center"/>
          </w:tcPr>
          <w:p w14:paraId="58466937">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2</w:t>
            </w:r>
          </w:p>
        </w:tc>
        <w:tc>
          <w:tcPr>
            <w:tcW w:w="936" w:type="pct"/>
            <w:vAlign w:val="center"/>
          </w:tcPr>
          <w:p w14:paraId="3702A21F">
            <w:pPr>
              <w:adjustRightInd w:val="0"/>
              <w:snapToGrid w:val="0"/>
              <w:spacing w:line="360" w:lineRule="auto"/>
              <w:jc w:val="center"/>
              <w:outlineLvl w:val="0"/>
              <w:rPr>
                <w:rFonts w:ascii="Times New Roman" w:hAnsi="Times New Roman" w:eastAsia="仿宋" w:cs="Times New Roman"/>
                <w:bCs/>
                <w:color w:val="000000"/>
                <w:kern w:val="28"/>
                <w:sz w:val="20"/>
                <w:szCs w:val="24"/>
              </w:rPr>
            </w:pPr>
            <w:r>
              <w:rPr>
                <w:rFonts w:hint="eastAsia" w:ascii="Times New Roman" w:hAnsi="Times New Roman" w:eastAsia="仿宋" w:cs="Times New Roman"/>
                <w:bCs/>
                <w:color w:val="000000"/>
                <w:kern w:val="28"/>
                <w:sz w:val="20"/>
                <w:szCs w:val="24"/>
              </w:rPr>
              <w:t>CHEM001112/SLSE001912</w:t>
            </w:r>
          </w:p>
        </w:tc>
        <w:tc>
          <w:tcPr>
            <w:tcW w:w="758" w:type="pct"/>
            <w:vMerge w:val="continue"/>
            <w:vAlign w:val="center"/>
          </w:tcPr>
          <w:p w14:paraId="149C9707">
            <w:pPr>
              <w:adjustRightInd w:val="0"/>
              <w:snapToGrid w:val="0"/>
              <w:spacing w:line="360" w:lineRule="auto"/>
              <w:jc w:val="center"/>
              <w:outlineLvl w:val="0"/>
              <w:rPr>
                <w:rFonts w:ascii="Times New Roman" w:hAnsi="Times New Roman" w:eastAsia="仿宋" w:cs="Times New Roman"/>
                <w:bCs/>
                <w:color w:val="000000"/>
                <w:kern w:val="28"/>
                <w:sz w:val="20"/>
                <w:szCs w:val="24"/>
              </w:rPr>
            </w:pPr>
          </w:p>
        </w:tc>
        <w:tc>
          <w:tcPr>
            <w:tcW w:w="877" w:type="pct"/>
            <w:vMerge w:val="continue"/>
            <w:vAlign w:val="center"/>
          </w:tcPr>
          <w:p w14:paraId="3B5F4EB5">
            <w:pPr>
              <w:adjustRightInd w:val="0"/>
              <w:snapToGrid w:val="0"/>
              <w:spacing w:line="360" w:lineRule="auto"/>
              <w:jc w:val="center"/>
              <w:outlineLvl w:val="0"/>
              <w:rPr>
                <w:rFonts w:hint="eastAsia" w:ascii="宋体" w:hAnsi="宋体" w:eastAsia="宋体" w:cs="宋体"/>
                <w:bCs/>
                <w:color w:val="000000"/>
                <w:kern w:val="28"/>
                <w:sz w:val="20"/>
                <w:szCs w:val="24"/>
              </w:rPr>
            </w:pPr>
          </w:p>
        </w:tc>
      </w:tr>
    </w:tbl>
    <w:p w14:paraId="1F922D60">
      <w:pPr>
        <w:spacing w:line="360" w:lineRule="auto"/>
        <w:ind w:firstLine="210" w:firstLineChars="100"/>
        <w:rPr>
          <w:rFonts w:ascii="Times New Roman" w:hAnsi="Times New Roman" w:eastAsia="仿宋" w:cs="Times New Roman"/>
          <w:color w:val="000000"/>
          <w:szCs w:val="21"/>
        </w:rPr>
      </w:pPr>
      <w:r>
        <w:rPr>
          <w:rFonts w:ascii="Times New Roman" w:hAnsi="Times New Roman" w:eastAsia="仿宋" w:cs="Times New Roman"/>
          <w:color w:val="000000"/>
          <w:szCs w:val="21"/>
        </w:rPr>
        <w:t>注：学生转专业的时间为第一学年结束或第二学年结束。一年级</w:t>
      </w:r>
      <w:r>
        <w:rPr>
          <w:rFonts w:hint="eastAsia" w:ascii="Times New Roman" w:hAnsi="Times New Roman" w:eastAsia="仿宋" w:cs="Times New Roman"/>
          <w:color w:val="000000"/>
          <w:szCs w:val="21"/>
        </w:rPr>
        <w:t>申请转专业的</w:t>
      </w:r>
      <w:r>
        <w:rPr>
          <w:rFonts w:ascii="Times New Roman" w:hAnsi="Times New Roman" w:eastAsia="仿宋" w:cs="Times New Roman"/>
          <w:color w:val="000000"/>
          <w:szCs w:val="21"/>
        </w:rPr>
        <w:t>本科生</w:t>
      </w:r>
      <w:r>
        <w:rPr>
          <w:rFonts w:hint="eastAsia" w:ascii="Times New Roman" w:hAnsi="Times New Roman" w:eastAsia="仿宋" w:cs="Times New Roman"/>
          <w:color w:val="000000"/>
          <w:szCs w:val="21"/>
        </w:rPr>
        <w:t>须</w:t>
      </w:r>
      <w:r>
        <w:rPr>
          <w:rFonts w:ascii="Times New Roman" w:hAnsi="Times New Roman" w:eastAsia="仿宋" w:cs="Times New Roman"/>
          <w:color w:val="000000"/>
          <w:szCs w:val="21"/>
        </w:rPr>
        <w:t>修完“一年级”的准入课程</w:t>
      </w:r>
      <w:r>
        <w:rPr>
          <w:rFonts w:hint="eastAsia" w:ascii="Times New Roman" w:hAnsi="Times New Roman" w:eastAsia="仿宋" w:cs="Times New Roman"/>
          <w:color w:val="000000"/>
          <w:szCs w:val="21"/>
        </w:rPr>
        <w:t>，</w:t>
      </w:r>
      <w:r>
        <w:rPr>
          <w:rFonts w:ascii="Times New Roman" w:hAnsi="Times New Roman" w:eastAsia="仿宋" w:cs="Times New Roman"/>
          <w:color w:val="000000"/>
          <w:szCs w:val="21"/>
        </w:rPr>
        <w:t>二年级</w:t>
      </w:r>
      <w:r>
        <w:rPr>
          <w:rFonts w:hint="eastAsia" w:ascii="Times New Roman" w:hAnsi="Times New Roman" w:eastAsia="仿宋" w:cs="Times New Roman"/>
          <w:color w:val="000000"/>
          <w:szCs w:val="21"/>
        </w:rPr>
        <w:t>申请转专业</w:t>
      </w:r>
      <w:r>
        <w:rPr>
          <w:rFonts w:ascii="Times New Roman" w:hAnsi="Times New Roman" w:eastAsia="仿宋" w:cs="Times New Roman"/>
          <w:color w:val="000000"/>
          <w:szCs w:val="21"/>
        </w:rPr>
        <w:t>的本科生须修完“一年级”、“二年级”的所有准入课程</w:t>
      </w:r>
      <w:r>
        <w:rPr>
          <w:rFonts w:hint="eastAsia" w:ascii="Times New Roman" w:hAnsi="Times New Roman" w:eastAsia="仿宋" w:cs="Times New Roman"/>
          <w:color w:val="000000"/>
          <w:szCs w:val="21"/>
        </w:rPr>
        <w:t>。</w:t>
      </w:r>
    </w:p>
    <w:p w14:paraId="43F0ADDF">
      <w:pPr>
        <w:spacing w:line="360" w:lineRule="auto"/>
        <w:rPr>
          <w:rFonts w:ascii="Times New Roman" w:hAnsi="Times New Roman" w:eastAsia="仿宋" w:cs="Times New Roman"/>
          <w:color w:val="000000"/>
          <w:sz w:val="24"/>
        </w:rPr>
      </w:pPr>
      <w:r>
        <w:rPr>
          <w:rFonts w:hint="eastAsia" w:ascii="Times New Roman" w:hAnsi="Times New Roman" w:eastAsia="仿宋" w:cs="Times New Roman"/>
          <w:color w:val="000000"/>
          <w:sz w:val="24"/>
        </w:rPr>
        <w:t xml:space="preserve">   </w:t>
      </w:r>
      <w:r>
        <w:rPr>
          <w:rFonts w:hint="eastAsia" w:ascii="Times New Roman" w:hAnsi="Times New Roman" w:eastAsia="仿宋" w:cs="Times New Roman"/>
          <w:color w:val="000000"/>
          <w:kern w:val="0"/>
          <w:sz w:val="24"/>
          <w:szCs w:val="21"/>
        </w:rPr>
        <w:t>（五）转专业</w:t>
      </w:r>
      <w:r>
        <w:rPr>
          <w:rFonts w:ascii="Times New Roman" w:hAnsi="Times New Roman" w:eastAsia="仿宋" w:cs="Times New Roman"/>
          <w:color w:val="000000"/>
          <w:sz w:val="24"/>
        </w:rPr>
        <w:t>考核</w:t>
      </w:r>
    </w:p>
    <w:p w14:paraId="58F03532">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1、采取专家组面试方式进行考核。根据申请学生在第</w:t>
      </w:r>
      <w:r>
        <w:rPr>
          <w:rFonts w:ascii="Times New Roman" w:hAnsi="Times New Roman" w:eastAsia="仿宋" w:cs="Times New Roman"/>
          <w:color w:val="000000"/>
          <w:sz w:val="24"/>
        </w:rPr>
        <w:t>一学年</w:t>
      </w:r>
      <w:r>
        <w:rPr>
          <w:rFonts w:hint="eastAsia" w:ascii="Times New Roman" w:hAnsi="Times New Roman" w:eastAsia="仿宋" w:cs="Times New Roman"/>
          <w:color w:val="000000"/>
          <w:sz w:val="24"/>
        </w:rPr>
        <w:t>或第一、第二</w:t>
      </w:r>
      <w:r>
        <w:rPr>
          <w:rFonts w:ascii="Times New Roman" w:hAnsi="Times New Roman" w:eastAsia="仿宋" w:cs="Times New Roman"/>
          <w:color w:val="000000"/>
          <w:sz w:val="24"/>
        </w:rPr>
        <w:t>学年全部必修课</w:t>
      </w:r>
      <w:r>
        <w:rPr>
          <w:rFonts w:hint="eastAsia" w:ascii="Times New Roman" w:hAnsi="Times New Roman" w:eastAsia="仿宋" w:cs="Times New Roman"/>
          <w:color w:val="000000"/>
          <w:sz w:val="24"/>
        </w:rPr>
        <w:t>程</w:t>
      </w:r>
      <w:r>
        <w:rPr>
          <w:rFonts w:ascii="Times New Roman" w:hAnsi="Times New Roman" w:eastAsia="仿宋" w:cs="Times New Roman"/>
          <w:color w:val="000000"/>
          <w:sz w:val="24"/>
        </w:rPr>
        <w:t>成绩专业排名、专业准入课程</w:t>
      </w:r>
      <w:r>
        <w:rPr>
          <w:rFonts w:hint="eastAsia" w:ascii="Times New Roman" w:hAnsi="Times New Roman" w:eastAsia="仿宋" w:cs="Times New Roman"/>
          <w:color w:val="000000"/>
          <w:sz w:val="24"/>
        </w:rPr>
        <w:t>平均</w:t>
      </w:r>
      <w:r>
        <w:rPr>
          <w:rFonts w:ascii="Times New Roman" w:hAnsi="Times New Roman" w:eastAsia="仿宋" w:cs="Times New Roman"/>
          <w:color w:val="000000"/>
          <w:sz w:val="24"/>
        </w:rPr>
        <w:t>成绩、英语四级成绩、专家组面试成绩</w:t>
      </w:r>
      <w:r>
        <w:rPr>
          <w:rFonts w:hint="eastAsia" w:ascii="Times New Roman" w:hAnsi="Times New Roman" w:eastAsia="仿宋" w:cs="Times New Roman"/>
          <w:color w:val="000000"/>
          <w:sz w:val="24"/>
        </w:rPr>
        <w:t>综合评定择优录取。</w:t>
      </w:r>
    </w:p>
    <w:p w14:paraId="0CC681B7">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2、有课程不及格者或有重修记录者不予进入面试考核。</w:t>
      </w:r>
    </w:p>
    <w:p w14:paraId="1A4923A5">
      <w:pPr>
        <w:spacing w:line="360" w:lineRule="auto"/>
        <w:ind w:firstLine="562" w:firstLineChars="200"/>
        <w:jc w:val="left"/>
        <w:outlineLvl w:val="1"/>
        <w:rPr>
          <w:rFonts w:ascii="Times New Roman" w:hAnsi="Times New Roman" w:eastAsia="黑体" w:cs="Times New Roman"/>
          <w:b/>
          <w:bCs/>
          <w:color w:val="000000"/>
          <w:kern w:val="28"/>
          <w:sz w:val="28"/>
          <w:szCs w:val="28"/>
        </w:rPr>
      </w:pPr>
      <w:r>
        <w:rPr>
          <w:rFonts w:hint="eastAsia" w:ascii="Times New Roman" w:hAnsi="Times New Roman" w:eastAsia="黑体" w:cs="Times New Roman"/>
          <w:b/>
          <w:bCs/>
          <w:color w:val="000000"/>
          <w:kern w:val="28"/>
          <w:sz w:val="28"/>
          <w:szCs w:val="28"/>
        </w:rPr>
        <w:t>三、</w:t>
      </w:r>
      <w:r>
        <w:rPr>
          <w:rFonts w:ascii="Times New Roman" w:hAnsi="Times New Roman" w:eastAsia="黑体" w:cs="Times New Roman"/>
          <w:b/>
          <w:bCs/>
          <w:color w:val="000000"/>
          <w:kern w:val="28"/>
          <w:sz w:val="28"/>
          <w:szCs w:val="28"/>
        </w:rPr>
        <w:t>转专业流程</w:t>
      </w:r>
    </w:p>
    <w:p w14:paraId="1CAE54E2">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1、申请</w:t>
      </w:r>
      <w:r>
        <w:rPr>
          <w:rFonts w:ascii="Times New Roman" w:hAnsi="Times New Roman" w:eastAsia="仿宋" w:cs="Times New Roman"/>
          <w:color w:val="000000"/>
          <w:sz w:val="24"/>
        </w:rPr>
        <w:t>转出学生按照</w:t>
      </w:r>
      <w:r>
        <w:rPr>
          <w:rFonts w:hint="eastAsia" w:ascii="Times New Roman" w:hAnsi="Times New Roman" w:eastAsia="仿宋" w:cs="Times New Roman"/>
          <w:color w:val="000000"/>
          <w:sz w:val="24"/>
        </w:rPr>
        <w:t>学校</w:t>
      </w:r>
      <w:r>
        <w:rPr>
          <w:rFonts w:ascii="Times New Roman" w:hAnsi="Times New Roman" w:eastAsia="仿宋" w:cs="Times New Roman"/>
          <w:color w:val="000000"/>
          <w:sz w:val="24"/>
        </w:rPr>
        <w:t>规定流程执行</w:t>
      </w:r>
      <w:r>
        <w:rPr>
          <w:rFonts w:hint="eastAsia" w:ascii="Times New Roman" w:hAnsi="Times New Roman" w:eastAsia="仿宋" w:cs="Times New Roman"/>
          <w:color w:val="000000"/>
          <w:sz w:val="24"/>
        </w:rPr>
        <w:t>。</w:t>
      </w:r>
    </w:p>
    <w:p w14:paraId="1D9B490B">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2、申请</w:t>
      </w:r>
      <w:r>
        <w:rPr>
          <w:rFonts w:ascii="Times New Roman" w:hAnsi="Times New Roman" w:eastAsia="仿宋" w:cs="Times New Roman"/>
          <w:color w:val="000000"/>
          <w:sz w:val="24"/>
        </w:rPr>
        <w:t>转入本学院学生，按照学校规定流程提出申请，由</w:t>
      </w:r>
      <w:r>
        <w:rPr>
          <w:rFonts w:hint="eastAsia" w:ascii="Times New Roman" w:hAnsi="Times New Roman" w:eastAsia="仿宋" w:cs="Times New Roman"/>
          <w:color w:val="000000"/>
          <w:sz w:val="24"/>
        </w:rPr>
        <w:t>学院组织开展面试和综合考核，考核结果通过本科生院网站、学院网站进行公示，经学院转专业工作领导小组审核确定拟接收转入学生名单，报本科生院审核。</w:t>
      </w:r>
    </w:p>
    <w:p w14:paraId="405BB1D1">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3、</w:t>
      </w:r>
      <w:r>
        <w:rPr>
          <w:rFonts w:ascii="Times New Roman" w:hAnsi="Times New Roman" w:eastAsia="仿宋" w:cs="Times New Roman"/>
          <w:color w:val="000000"/>
          <w:sz w:val="24"/>
        </w:rPr>
        <w:t>转入学生按照转入专业的培养计划执行，学习成绩认定与课程替代按照</w:t>
      </w:r>
      <w:r>
        <w:rPr>
          <w:rFonts w:hint="eastAsia" w:ascii="仿宋" w:hAnsi="仿宋" w:eastAsia="仿宋" w:cs="仿宋"/>
          <w:color w:val="000000"/>
          <w:sz w:val="24"/>
        </w:rPr>
        <w:t>《西南交通大学本科生转专业管理办法》</w:t>
      </w:r>
      <w:r>
        <w:rPr>
          <w:rFonts w:ascii="Times New Roman" w:hAnsi="Times New Roman" w:eastAsia="仿宋" w:cs="Times New Roman"/>
          <w:color w:val="000000"/>
          <w:sz w:val="24"/>
        </w:rPr>
        <w:t>执行。</w:t>
      </w:r>
    </w:p>
    <w:p w14:paraId="45354DE5">
      <w:pPr>
        <w:spacing w:line="360" w:lineRule="auto"/>
        <w:ind w:left="99" w:leftChars="47" w:firstLine="562" w:firstLineChars="200"/>
        <w:jc w:val="left"/>
        <w:outlineLvl w:val="1"/>
        <w:rPr>
          <w:rFonts w:ascii="Times New Roman" w:hAnsi="Times New Roman" w:eastAsia="黑体" w:cs="Times New Roman"/>
          <w:b/>
          <w:bCs/>
          <w:color w:val="000000"/>
          <w:kern w:val="28"/>
          <w:sz w:val="28"/>
          <w:szCs w:val="28"/>
        </w:rPr>
      </w:pPr>
      <w:r>
        <w:rPr>
          <w:rFonts w:hint="eastAsia" w:ascii="Times New Roman" w:hAnsi="Times New Roman" w:eastAsia="黑体" w:cs="Times New Roman"/>
          <w:b/>
          <w:bCs/>
          <w:color w:val="000000"/>
          <w:kern w:val="28"/>
          <w:sz w:val="28"/>
          <w:szCs w:val="28"/>
        </w:rPr>
        <w:t>四、转专业咨询方式</w:t>
      </w:r>
    </w:p>
    <w:p w14:paraId="3841E438">
      <w:pPr>
        <w:spacing w:line="360" w:lineRule="auto"/>
        <w:ind w:firstLine="720" w:firstLineChars="300"/>
        <w:rPr>
          <w:rFonts w:ascii="Times New Roman" w:hAnsi="Times New Roman" w:eastAsia="仿宋" w:cs="Times New Roman"/>
          <w:color w:val="000000"/>
          <w:sz w:val="24"/>
        </w:rPr>
      </w:pPr>
      <w:r>
        <w:rPr>
          <w:rFonts w:hint="eastAsia" w:ascii="Times New Roman" w:hAnsi="Times New Roman" w:eastAsia="仿宋" w:cs="Times New Roman"/>
          <w:color w:val="000000"/>
          <w:sz w:val="24"/>
        </w:rPr>
        <w:t xml:space="preserve">联系人：凌老师 </w:t>
      </w:r>
    </w:p>
    <w:p w14:paraId="086AB966">
      <w:pPr>
        <w:spacing w:line="360" w:lineRule="auto"/>
        <w:ind w:firstLine="720" w:firstLineChars="300"/>
        <w:rPr>
          <w:rFonts w:ascii="Times New Roman" w:hAnsi="Times New Roman" w:eastAsia="仿宋" w:cs="Times New Roman"/>
          <w:color w:val="000000"/>
          <w:sz w:val="24"/>
        </w:rPr>
      </w:pPr>
      <w:r>
        <w:rPr>
          <w:rFonts w:hint="eastAsia" w:ascii="Times New Roman" w:hAnsi="Times New Roman" w:eastAsia="仿宋" w:cs="Times New Roman"/>
          <w:color w:val="000000"/>
          <w:sz w:val="24"/>
        </w:rPr>
        <w:t>联系电话：028-66</w:t>
      </w:r>
      <w:r>
        <w:rPr>
          <w:rFonts w:ascii="Times New Roman" w:hAnsi="Times New Roman" w:eastAsia="仿宋" w:cs="Times New Roman"/>
          <w:color w:val="000000"/>
          <w:sz w:val="24"/>
        </w:rPr>
        <w:t>368298</w:t>
      </w:r>
    </w:p>
    <w:p w14:paraId="21DD31B5">
      <w:pPr>
        <w:spacing w:line="360" w:lineRule="auto"/>
        <w:ind w:firstLine="720" w:firstLineChars="300"/>
        <w:rPr>
          <w:rFonts w:ascii="Times New Roman" w:hAnsi="Times New Roman" w:eastAsia="仿宋" w:cs="Times New Roman"/>
          <w:color w:val="000000"/>
          <w:sz w:val="24"/>
        </w:rPr>
      </w:pPr>
      <w:r>
        <w:rPr>
          <w:rFonts w:hint="eastAsia" w:ascii="Times New Roman" w:hAnsi="Times New Roman" w:eastAsia="仿宋" w:cs="Times New Roman"/>
          <w:color w:val="000000"/>
          <w:sz w:val="24"/>
        </w:rPr>
        <w:t>咨询地点：</w:t>
      </w:r>
      <w:r>
        <w:rPr>
          <w:rFonts w:ascii="Times New Roman" w:hAnsi="Times New Roman" w:eastAsia="仿宋" w:cs="Times New Roman"/>
          <w:color w:val="000000"/>
          <w:sz w:val="24"/>
        </w:rPr>
        <w:t>犀浦</w:t>
      </w:r>
      <w:r>
        <w:rPr>
          <w:rFonts w:hint="eastAsia" w:ascii="Times New Roman" w:hAnsi="Times New Roman" w:eastAsia="仿宋" w:cs="Times New Roman"/>
          <w:color w:val="000000"/>
          <w:sz w:val="24"/>
        </w:rPr>
        <w:t>校区二号教学楼</w:t>
      </w:r>
      <w:r>
        <w:rPr>
          <w:rFonts w:ascii="Times New Roman" w:hAnsi="Times New Roman" w:eastAsia="仿宋" w:cs="Times New Roman"/>
          <w:color w:val="000000"/>
          <w:sz w:val="24"/>
        </w:rPr>
        <w:t>X2413B办公室</w:t>
      </w:r>
    </w:p>
    <w:p w14:paraId="0D970DE6">
      <w:pPr>
        <w:spacing w:line="360" w:lineRule="auto"/>
        <w:ind w:left="99" w:leftChars="47" w:firstLine="562" w:firstLineChars="200"/>
        <w:jc w:val="left"/>
        <w:outlineLvl w:val="1"/>
        <w:rPr>
          <w:rFonts w:ascii="Times New Roman" w:hAnsi="Times New Roman" w:eastAsia="仿宋" w:cs="Times New Roman"/>
          <w:color w:val="000000"/>
          <w:sz w:val="24"/>
        </w:rPr>
      </w:pPr>
      <w:r>
        <w:rPr>
          <w:rFonts w:hint="eastAsia" w:ascii="Times New Roman" w:hAnsi="Times New Roman" w:eastAsia="黑体" w:cs="Times New Roman"/>
          <w:b/>
          <w:bCs/>
          <w:color w:val="000000"/>
          <w:kern w:val="28"/>
          <w:sz w:val="28"/>
          <w:szCs w:val="28"/>
        </w:rPr>
        <w:t>五、其他</w:t>
      </w:r>
    </w:p>
    <w:p w14:paraId="53092BE9">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1、本细则由化学学院制定并通过教授委员会审核、党政联席会审定，自公布之日起施行。</w:t>
      </w:r>
    </w:p>
    <w:p w14:paraId="6678312B">
      <w:pPr>
        <w:spacing w:line="360" w:lineRule="auto"/>
        <w:ind w:firstLine="480" w:firstLineChars="200"/>
        <w:rPr>
          <w:rFonts w:ascii="Times New Roman" w:hAnsi="Times New Roman" w:eastAsia="仿宋" w:cs="Times New Roman"/>
          <w:color w:val="000000"/>
          <w:sz w:val="24"/>
        </w:rPr>
      </w:pPr>
      <w:r>
        <w:rPr>
          <w:rFonts w:hint="eastAsia" w:ascii="Times New Roman" w:hAnsi="Times New Roman" w:eastAsia="仿宋" w:cs="Times New Roman"/>
          <w:color w:val="000000"/>
          <w:sz w:val="24"/>
        </w:rPr>
        <w:t>2、未尽事宜由化学学院转专业工作领导小组负责解释，如条款与学校有关文件存在不一致内容，以学校文件为准。</w:t>
      </w:r>
    </w:p>
    <w:p w14:paraId="6DB175B7">
      <w:pPr>
        <w:wordWrap w:val="0"/>
        <w:spacing w:line="360" w:lineRule="auto"/>
        <w:ind w:firstLine="480" w:firstLineChars="200"/>
        <w:jc w:val="right"/>
        <w:rPr>
          <w:rFonts w:ascii="Times New Roman" w:hAnsi="Times New Roman" w:eastAsia="仿宋" w:cs="Times New Roman"/>
          <w:color w:val="000000"/>
          <w:sz w:val="24"/>
        </w:rPr>
      </w:pPr>
      <w:r>
        <w:rPr>
          <w:rFonts w:hint="eastAsia" w:ascii="Times New Roman" w:hAnsi="Times New Roman" w:eastAsia="仿宋" w:cs="Times New Roman"/>
          <w:color w:val="000000"/>
          <w:sz w:val="24"/>
        </w:rPr>
        <w:t xml:space="preserve">  </w:t>
      </w:r>
      <w:r>
        <w:rPr>
          <w:rFonts w:ascii="Times New Roman" w:hAnsi="Times New Roman" w:eastAsia="仿宋" w:cs="Times New Roman"/>
          <w:color w:val="000000"/>
          <w:sz w:val="24"/>
        </w:rPr>
        <w:t>化学学院</w:t>
      </w:r>
      <w:r>
        <w:rPr>
          <w:rFonts w:hint="eastAsia" w:ascii="Times New Roman" w:hAnsi="Times New Roman" w:eastAsia="仿宋" w:cs="Times New Roman"/>
          <w:color w:val="000000"/>
          <w:sz w:val="24"/>
        </w:rPr>
        <w:t xml:space="preserve">  </w:t>
      </w:r>
    </w:p>
    <w:p w14:paraId="6DCF7335">
      <w:pPr>
        <w:spacing w:line="360" w:lineRule="auto"/>
        <w:ind w:firstLine="480" w:firstLineChars="200"/>
        <w:jc w:val="center"/>
        <w:rPr>
          <w:rFonts w:ascii="Times New Roman" w:hAnsi="Times New Roman" w:eastAsia="仿宋" w:cs="Times New Roman"/>
          <w:color w:val="000000"/>
          <w:sz w:val="24"/>
        </w:rPr>
      </w:pPr>
      <w:r>
        <w:rPr>
          <w:rFonts w:hint="eastAsia" w:ascii="Times New Roman" w:hAnsi="Times New Roman" w:eastAsia="仿宋" w:cs="Times New Roman"/>
          <w:color w:val="000000"/>
          <w:sz w:val="24"/>
        </w:rPr>
        <w:t xml:space="preserve">                                                      2025年11月</w:t>
      </w:r>
    </w:p>
    <w:p w14:paraId="1215044D">
      <w:pPr>
        <w:spacing w:line="360" w:lineRule="auto"/>
        <w:ind w:right="960" w:firstLine="4800" w:firstLineChars="2000"/>
        <w:rPr>
          <w:rFonts w:ascii="Times New Roman" w:hAnsi="Times New Roman" w:eastAsia="仿宋" w:cs="Times New Roman"/>
          <w:color w:val="000000"/>
          <w:sz w:val="24"/>
        </w:rPr>
      </w:pPr>
      <w:r>
        <w:rPr>
          <w:rFonts w:hint="eastAsia" w:ascii="Times New Roman" w:hAnsi="Times New Roman" w:eastAsia="仿宋" w:cs="Times New Roman"/>
          <w:color w:val="000000"/>
          <w:sz w:val="24"/>
        </w:rPr>
        <w:t xml:space="preserve">            </w:t>
      </w:r>
    </w:p>
    <w:p w14:paraId="4BFDD614">
      <w:pPr>
        <w:spacing w:line="360" w:lineRule="auto"/>
        <w:jc w:val="left"/>
        <w:rPr>
          <w:rFonts w:ascii="Times New Roman" w:hAnsi="Times New Roman" w:eastAsia="仿宋" w:cs="Times New Roman"/>
        </w:rPr>
      </w:pPr>
      <w:r>
        <w:rPr>
          <w:rFonts w:ascii="Times New Roman" w:hAnsi="Times New Roman" w:eastAsia="仿宋" w:cs="Times New Roman"/>
          <w:color w:val="000000"/>
          <w:sz w:val="24"/>
        </w:rPr>
        <w:t xml:space="preserve">                                  </w:t>
      </w:r>
      <w:r>
        <w:rPr>
          <w:rFonts w:hint="eastAsia" w:ascii="Times New Roman" w:hAnsi="Times New Roman" w:eastAsia="仿宋" w:cs="Times New Roman"/>
          <w:color w:val="000000"/>
          <w:sz w:val="24"/>
        </w:rPr>
        <w:t xml:space="preserve">              </w:t>
      </w:r>
      <w:r>
        <w:rPr>
          <w:rFonts w:ascii="Times New Roman" w:hAnsi="Times New Roman" w:eastAsia="仿宋" w:cs="Times New Roman"/>
          <w:color w:val="000000"/>
          <w:sz w:val="24"/>
        </w:rPr>
        <w:t xml:space="preserve"> </w:t>
      </w:r>
    </w:p>
    <w:p w14:paraId="640AACFB">
      <w:pPr>
        <w:spacing w:line="360" w:lineRule="auto"/>
        <w:rPr>
          <w:rFonts w:hint="eastAsia"/>
        </w:rPr>
      </w:pPr>
    </w:p>
    <w:p w14:paraId="089B12B9">
      <w:pPr>
        <w:spacing w:line="360" w:lineRule="auto"/>
        <w:rPr>
          <w:rFonts w:hint="eastAsia"/>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DAA493-761A-4FFD-BED0-A7ED97E548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embedRegular r:id="rId2" w:fontKey="{B633FFD9-F207-4660-9CC9-B7D4D9E8F4EB}"/>
  </w:font>
  <w:font w:name="方正小标宋简体">
    <w:panose1 w:val="02010600010101010101"/>
    <w:charset w:val="86"/>
    <w:family w:val="auto"/>
    <w:pitch w:val="default"/>
    <w:sig w:usb0="00000001" w:usb1="080E0000" w:usb2="00000000" w:usb3="00000000" w:csb0="00040000" w:csb1="00000000"/>
    <w:embedRegular r:id="rId3" w:fontKey="{041B2A08-0B24-4FFF-B499-BD3DF16CA8FB}"/>
  </w:font>
  <w:font w:name="仿宋">
    <w:panose1 w:val="02010609060101010101"/>
    <w:charset w:val="86"/>
    <w:family w:val="modern"/>
    <w:pitch w:val="default"/>
    <w:sig w:usb0="800002BF" w:usb1="38CF7CFA" w:usb2="00000016" w:usb3="00000000" w:csb0="00040001" w:csb1="00000000"/>
    <w:embedRegular r:id="rId4" w:fontKey="{844DC6C7-CFD7-4058-A70E-4BDD358E0BE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saveSubset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0NDA4ZDQ4ZjJjMDc1YzdmOTRmMzRmNmRlMzUxODEifQ=="/>
  </w:docVars>
  <w:rsids>
    <w:rsidRoot w:val="00FB5318"/>
    <w:rsid w:val="000A0462"/>
    <w:rsid w:val="00123CD7"/>
    <w:rsid w:val="00253522"/>
    <w:rsid w:val="002A1F2D"/>
    <w:rsid w:val="002B4AD6"/>
    <w:rsid w:val="002E3424"/>
    <w:rsid w:val="002F5EA4"/>
    <w:rsid w:val="00326857"/>
    <w:rsid w:val="00440C96"/>
    <w:rsid w:val="00441FB8"/>
    <w:rsid w:val="00542418"/>
    <w:rsid w:val="00680B15"/>
    <w:rsid w:val="00740A1D"/>
    <w:rsid w:val="007A03DF"/>
    <w:rsid w:val="007B1C6B"/>
    <w:rsid w:val="007C1454"/>
    <w:rsid w:val="0088546E"/>
    <w:rsid w:val="009B5436"/>
    <w:rsid w:val="009C5B5D"/>
    <w:rsid w:val="00A41C87"/>
    <w:rsid w:val="00AC354E"/>
    <w:rsid w:val="00B01DC8"/>
    <w:rsid w:val="00BC7FEA"/>
    <w:rsid w:val="00C25B82"/>
    <w:rsid w:val="00C434B1"/>
    <w:rsid w:val="00CE6198"/>
    <w:rsid w:val="00D074CA"/>
    <w:rsid w:val="00D9284E"/>
    <w:rsid w:val="00DA3830"/>
    <w:rsid w:val="00E76E64"/>
    <w:rsid w:val="00F02833"/>
    <w:rsid w:val="00F04DD0"/>
    <w:rsid w:val="00FA7543"/>
    <w:rsid w:val="00FB5318"/>
    <w:rsid w:val="00FE07F1"/>
    <w:rsid w:val="00FE0854"/>
    <w:rsid w:val="00FE7CB4"/>
    <w:rsid w:val="0139378E"/>
    <w:rsid w:val="01F64D0F"/>
    <w:rsid w:val="04932CE9"/>
    <w:rsid w:val="08C47661"/>
    <w:rsid w:val="0B217B2C"/>
    <w:rsid w:val="0E4A4EFD"/>
    <w:rsid w:val="10786F12"/>
    <w:rsid w:val="14EA645D"/>
    <w:rsid w:val="15AD0685"/>
    <w:rsid w:val="16A254EA"/>
    <w:rsid w:val="17B86896"/>
    <w:rsid w:val="1B950C9D"/>
    <w:rsid w:val="297521AB"/>
    <w:rsid w:val="29D357B2"/>
    <w:rsid w:val="2D12214D"/>
    <w:rsid w:val="33F95E15"/>
    <w:rsid w:val="343B01DB"/>
    <w:rsid w:val="357C7356"/>
    <w:rsid w:val="3FD74FE2"/>
    <w:rsid w:val="402E5676"/>
    <w:rsid w:val="428709F3"/>
    <w:rsid w:val="42F76469"/>
    <w:rsid w:val="466F1960"/>
    <w:rsid w:val="480D586B"/>
    <w:rsid w:val="48614F78"/>
    <w:rsid w:val="49FA69E2"/>
    <w:rsid w:val="4A417667"/>
    <w:rsid w:val="532637A0"/>
    <w:rsid w:val="53DD2C05"/>
    <w:rsid w:val="5B716F5E"/>
    <w:rsid w:val="5DBF512A"/>
    <w:rsid w:val="617E7518"/>
    <w:rsid w:val="62960B4F"/>
    <w:rsid w:val="681A7B2C"/>
    <w:rsid w:val="682C160E"/>
    <w:rsid w:val="69006D22"/>
    <w:rsid w:val="7084648B"/>
    <w:rsid w:val="73C6500C"/>
    <w:rsid w:val="78993069"/>
    <w:rsid w:val="79191A6A"/>
    <w:rsid w:val="7B3D10BE"/>
    <w:rsid w:val="7C1D15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批注框文本 字符"/>
    <w:basedOn w:val="7"/>
    <w:link w:val="2"/>
    <w:semiHidden/>
    <w:qFormat/>
    <w:uiPriority w:val="99"/>
    <w:rPr>
      <w:rFonts w:asciiTheme="minorHAnsi" w:hAnsiTheme="minorHAnsi" w:eastAsiaTheme="minorEastAsia" w:cstheme="minorBidi"/>
      <w:kern w:val="2"/>
      <w:sz w:val="18"/>
      <w:szCs w:val="18"/>
    </w:rPr>
  </w:style>
  <w:style w:type="paragraph" w:customStyle="1" w:styleId="1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1222</Words>
  <Characters>1629</Characters>
  <Lines>219</Lines>
  <Paragraphs>232</Paragraphs>
  <TotalTime>62</TotalTime>
  <ScaleCrop>false</ScaleCrop>
  <LinksUpToDate>false</LinksUpToDate>
  <CharactersWithSpaces>1763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2023-12-20T09:48:00Z</dcterms:created>
  <dc:creator>yongwang1976@163.com</dc:creator>
  <cp:lastModifiedBy>WPS_201254713</cp:lastModifiedBy>
  <cp:lastPrinted>2023-12-25T07:22:00Z</cp:lastPrinted>
  <dcterms:modified xsi:type="dcterms:W3CDTF">2025-11-17T08:04:31Z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B0D22D199BA1482F8869D4C84CA6871A_13</vt:lpwstr>
  </property>
  <property fmtid="{D5CDD505-2E9C-101B-9397-08002B2CF9AE}" pid="4" name="KSOTemplateDocerSaveRecord">
    <vt:lpwstr>eyJoZGlkIjoiNTNjMzljMjdiMzA2NDNlMzFmYTc3ZjNkOWExZDgyZTAiLCJ1c2VySWQiOiIyMDEyNTQ3MTMifQ==</vt:lpwstr>
  </property>
</Properties>
</file>