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74D811D">
      <w:pPr>
        <w:keepNext/>
        <w:keepLines/>
        <w:spacing w:line="360" w:lineRule="auto"/>
        <w:jc w:val="center"/>
        <w:outlineLvl w:val="0"/>
        <w:rPr>
          <w:rFonts w:ascii="Times New Roman" w:hAnsi="Times New Roman" w:eastAsia="宋体" w:cs="Times New Roman"/>
          <w:b/>
          <w:bCs/>
          <w:color w:val="000000"/>
          <w:kern w:val="44"/>
          <w:sz w:val="32"/>
          <w:szCs w:val="44"/>
        </w:rPr>
      </w:pPr>
      <w:bookmarkStart w:id="0" w:name="_Toc444874524"/>
      <w:r>
        <w:rPr>
          <w:rFonts w:hint="eastAsia" w:ascii="Times New Roman" w:hAnsi="Times New Roman" w:eastAsia="宋体" w:cs="Times New Roman"/>
          <w:b/>
          <w:bCs/>
          <w:color w:val="000000"/>
          <w:kern w:val="44"/>
          <w:sz w:val="32"/>
          <w:szCs w:val="32"/>
        </w:rPr>
        <w:t>材料科学与工程学院202</w:t>
      </w:r>
      <w:r>
        <w:rPr>
          <w:rFonts w:ascii="Times New Roman" w:hAnsi="Times New Roman" w:eastAsia="宋体" w:cs="Times New Roman"/>
          <w:b/>
          <w:bCs/>
          <w:color w:val="000000"/>
          <w:kern w:val="44"/>
          <w:sz w:val="32"/>
          <w:szCs w:val="32"/>
        </w:rPr>
        <w:t>6</w:t>
      </w:r>
      <w:r>
        <w:rPr>
          <w:rFonts w:hint="eastAsia" w:ascii="Times New Roman" w:hAnsi="Times New Roman" w:eastAsia="宋体" w:cs="Times New Roman"/>
          <w:b/>
          <w:bCs/>
          <w:color w:val="000000"/>
          <w:kern w:val="44"/>
          <w:sz w:val="32"/>
          <w:szCs w:val="32"/>
        </w:rPr>
        <w:t>年</w:t>
      </w:r>
      <w:r>
        <w:rPr>
          <w:rFonts w:hint="eastAsia" w:ascii="Times New Roman" w:hAnsi="Times New Roman" w:eastAsia="宋体" w:cs="Times New Roman"/>
          <w:b/>
          <w:bCs/>
          <w:color w:val="000000"/>
          <w:kern w:val="44"/>
          <w:sz w:val="32"/>
          <w:szCs w:val="44"/>
        </w:rPr>
        <w:t>本科生转专业实施细则</w:t>
      </w:r>
      <w:bookmarkEnd w:id="0"/>
    </w:p>
    <w:p w14:paraId="511E5B31">
      <w:pPr>
        <w:widowControl/>
        <w:snapToGrid w:val="0"/>
        <w:spacing w:line="360" w:lineRule="auto"/>
        <w:jc w:val="left"/>
        <w:rPr>
          <w:rFonts w:ascii="Times New Roman" w:hAnsi="Times New Roman" w:eastAsia="宋体" w:cs="宋体"/>
          <w:kern w:val="0"/>
          <w:sz w:val="24"/>
          <w:szCs w:val="24"/>
        </w:rPr>
      </w:pPr>
    </w:p>
    <w:p w14:paraId="680AEA9C">
      <w:pPr>
        <w:numPr>
          <w:ilvl w:val="0"/>
          <w:numId w:val="2"/>
        </w:numPr>
        <w:spacing w:line="360" w:lineRule="auto"/>
        <w:ind w:left="0" w:firstLine="602" w:firstLineChars="200"/>
        <w:jc w:val="left"/>
        <w:outlineLvl w:val="1"/>
        <w:rPr>
          <w:rFonts w:ascii="Times New Roman" w:hAnsi="Times New Roman" w:eastAsia="宋体" w:cs="Times New Roman"/>
          <w:b/>
          <w:bCs/>
          <w:color w:val="000000"/>
          <w:kern w:val="28"/>
          <w:sz w:val="30"/>
          <w:szCs w:val="32"/>
        </w:rPr>
      </w:pPr>
      <w:bookmarkStart w:id="1" w:name="_Toc444871815"/>
      <w:bookmarkStart w:id="2" w:name="_Toc444848819"/>
      <w:bookmarkStart w:id="3" w:name="_Toc444615425"/>
      <w:r>
        <w:rPr>
          <w:rFonts w:hint="eastAsia" w:ascii="Times New Roman" w:hAnsi="Times New Roman" w:eastAsia="宋体" w:cs="Times New Roman"/>
          <w:b/>
          <w:bCs/>
          <w:color w:val="000000"/>
          <w:kern w:val="28"/>
          <w:sz w:val="30"/>
          <w:szCs w:val="32"/>
        </w:rPr>
        <w:t>转专业工作领导小组</w:t>
      </w:r>
      <w:bookmarkEnd w:id="1"/>
      <w:bookmarkEnd w:id="2"/>
      <w:bookmarkEnd w:id="3"/>
    </w:p>
    <w:p w14:paraId="5216A48C">
      <w:pPr>
        <w:spacing w:line="360" w:lineRule="auto"/>
        <w:ind w:firstLine="480" w:firstLineChars="200"/>
        <w:rPr>
          <w:rFonts w:ascii="Times New Roman" w:hAnsi="Times New Roman" w:eastAsia="宋体" w:cs="Times New Roman"/>
          <w:color w:val="000000"/>
          <w:sz w:val="24"/>
        </w:rPr>
      </w:pPr>
      <w:r>
        <w:rPr>
          <w:rFonts w:hint="eastAsia" w:ascii="Times New Roman" w:hAnsi="Times New Roman" w:eastAsia="宋体" w:cs="宋体"/>
          <w:color w:val="000000"/>
          <w:kern w:val="0"/>
          <w:sz w:val="24"/>
          <w:szCs w:val="24"/>
        </w:rPr>
        <w:t xml:space="preserve">第一条 </w:t>
      </w:r>
      <w:r>
        <w:rPr>
          <w:rFonts w:ascii="Times New Roman" w:hAnsi="Times New Roman" w:eastAsia="宋体" w:cs="宋体"/>
          <w:color w:val="000000"/>
          <w:kern w:val="0"/>
          <w:sz w:val="24"/>
          <w:szCs w:val="24"/>
        </w:rPr>
        <w:t xml:space="preserve"> </w:t>
      </w:r>
      <w:r>
        <w:rPr>
          <w:rFonts w:hint="eastAsia" w:ascii="Times New Roman" w:hAnsi="Times New Roman" w:eastAsia="宋体" w:cs="宋体"/>
          <w:color w:val="000000"/>
          <w:kern w:val="0"/>
          <w:sz w:val="24"/>
          <w:szCs w:val="24"/>
        </w:rPr>
        <w:t>学院转专业</w:t>
      </w:r>
      <w:bookmarkStart w:id="6" w:name="_GoBack"/>
      <w:bookmarkEnd w:id="6"/>
      <w:r>
        <w:rPr>
          <w:rFonts w:hint="eastAsia" w:ascii="Times New Roman" w:hAnsi="Times New Roman" w:eastAsia="宋体" w:cs="宋体"/>
          <w:color w:val="000000"/>
          <w:kern w:val="0"/>
          <w:sz w:val="24"/>
          <w:szCs w:val="24"/>
        </w:rPr>
        <w:t>工作领导小组</w:t>
      </w:r>
    </w:p>
    <w:p w14:paraId="66BD450E">
      <w:pPr>
        <w:spacing w:line="360" w:lineRule="auto"/>
        <w:ind w:firstLine="480" w:firstLineChars="200"/>
        <w:rPr>
          <w:rFonts w:ascii="Times New Roman" w:hAnsi="Times New Roman" w:eastAsia="宋体" w:cs="Times New Roman"/>
          <w:color w:val="000000"/>
          <w:sz w:val="24"/>
        </w:rPr>
      </w:pPr>
      <w:r>
        <w:rPr>
          <w:rFonts w:hint="eastAsia" w:ascii="Times New Roman" w:hAnsi="Times New Roman" w:eastAsia="宋体" w:cs="Times New Roman"/>
          <w:color w:val="000000"/>
          <w:sz w:val="24"/>
        </w:rPr>
        <w:t xml:space="preserve">组长：陈辉 </w:t>
      </w:r>
      <w:r>
        <w:rPr>
          <w:rFonts w:ascii="Times New Roman" w:hAnsi="Times New Roman" w:eastAsia="宋体" w:cs="Times New Roman"/>
          <w:color w:val="000000"/>
          <w:sz w:val="24"/>
        </w:rPr>
        <w:t xml:space="preserve"> </w:t>
      </w:r>
      <w:r>
        <w:rPr>
          <w:rFonts w:hint="eastAsia" w:ascii="Times New Roman" w:hAnsi="Times New Roman" w:eastAsia="宋体" w:cs="Times New Roman"/>
          <w:color w:val="000000"/>
          <w:sz w:val="24"/>
        </w:rPr>
        <w:t>沈哲</w:t>
      </w:r>
    </w:p>
    <w:p w14:paraId="362349F1">
      <w:pPr>
        <w:spacing w:line="360" w:lineRule="auto"/>
        <w:ind w:firstLine="480" w:firstLineChars="200"/>
        <w:rPr>
          <w:rFonts w:ascii="Times New Roman" w:hAnsi="Times New Roman" w:eastAsia="宋体" w:cs="Times New Roman"/>
          <w:color w:val="000000"/>
          <w:sz w:val="24"/>
        </w:rPr>
      </w:pPr>
      <w:r>
        <w:rPr>
          <w:rFonts w:ascii="Times New Roman" w:hAnsi="Times New Roman" w:eastAsia="宋体" w:cs="Times New Roman"/>
          <w:color w:val="000000"/>
          <w:sz w:val="24"/>
        </w:rPr>
        <w:t>成员：</w:t>
      </w:r>
      <w:r>
        <w:rPr>
          <w:rFonts w:hint="eastAsia" w:ascii="Times New Roman" w:hAnsi="Times New Roman" w:eastAsia="宋体" w:cs="Times New Roman"/>
          <w:color w:val="000000"/>
          <w:sz w:val="24"/>
        </w:rPr>
        <w:t xml:space="preserve">刘艳 熊钰 </w:t>
      </w:r>
      <w:r>
        <w:rPr>
          <w:rFonts w:ascii="Times New Roman" w:hAnsi="Times New Roman" w:eastAsia="宋体" w:cs="Times New Roman"/>
          <w:color w:val="000000"/>
          <w:sz w:val="24"/>
        </w:rPr>
        <w:t>蒋小松</w:t>
      </w:r>
      <w:r>
        <w:rPr>
          <w:rFonts w:hint="eastAsia" w:ascii="Times New Roman" w:hAnsi="Times New Roman" w:eastAsia="宋体" w:cs="Times New Roman"/>
          <w:color w:val="000000"/>
          <w:sz w:val="24"/>
        </w:rPr>
        <w:t xml:space="preserve"> 李琦</w:t>
      </w:r>
      <w:r>
        <w:rPr>
          <w:rFonts w:ascii="Times New Roman" w:hAnsi="Times New Roman" w:eastAsia="宋体" w:cs="Times New Roman"/>
          <w:color w:val="000000"/>
          <w:sz w:val="24"/>
        </w:rPr>
        <w:t xml:space="preserve"> </w:t>
      </w:r>
      <w:r>
        <w:rPr>
          <w:rFonts w:hint="eastAsia" w:ascii="Times New Roman" w:hAnsi="Times New Roman" w:eastAsia="宋体" w:cs="Times New Roman"/>
          <w:color w:val="000000"/>
          <w:sz w:val="24"/>
        </w:rPr>
        <w:t>朱宗涛 樊小强 姜欣 吴影</w:t>
      </w:r>
      <w:r>
        <w:rPr>
          <w:rFonts w:ascii="Times New Roman" w:hAnsi="Times New Roman" w:eastAsia="宋体" w:cs="Times New Roman"/>
          <w:color w:val="000000"/>
          <w:sz w:val="24"/>
        </w:rPr>
        <w:t xml:space="preserve"> </w:t>
      </w:r>
      <w:r>
        <w:rPr>
          <w:rFonts w:hint="eastAsia" w:ascii="Times New Roman" w:hAnsi="Times New Roman" w:eastAsia="宋体" w:cs="Times New Roman"/>
          <w:color w:val="000000"/>
          <w:sz w:val="24"/>
        </w:rPr>
        <w:t xml:space="preserve">李中 刘建华 </w:t>
      </w:r>
    </w:p>
    <w:p w14:paraId="66D189B9">
      <w:pPr>
        <w:spacing w:line="360" w:lineRule="auto"/>
        <w:ind w:firstLine="480" w:firstLineChars="200"/>
        <w:jc w:val="both"/>
        <w:rPr>
          <w:rFonts w:ascii="Times New Roman" w:hAnsi="Times New Roman" w:eastAsia="宋体" w:cs="Times New Roman"/>
          <w:sz w:val="24"/>
        </w:rPr>
      </w:pPr>
      <w:r>
        <w:rPr>
          <w:rFonts w:ascii="Times New Roman" w:hAnsi="Times New Roman" w:eastAsia="宋体" w:cs="Times New Roman"/>
          <w:color w:val="000000"/>
          <w:sz w:val="24"/>
        </w:rPr>
        <w:t xml:space="preserve">秘书：罗海燕  </w:t>
      </w:r>
    </w:p>
    <w:p w14:paraId="59E690AB">
      <w:pPr>
        <w:spacing w:line="360" w:lineRule="auto"/>
        <w:ind w:left="420" w:leftChars="200"/>
        <w:jc w:val="left"/>
        <w:outlineLvl w:val="1"/>
        <w:rPr>
          <w:rFonts w:ascii="Times New Roman" w:hAnsi="Times New Roman" w:eastAsia="宋体" w:cs="Times New Roman"/>
          <w:b/>
          <w:bCs/>
          <w:color w:val="000000"/>
          <w:kern w:val="28"/>
          <w:sz w:val="30"/>
          <w:szCs w:val="32"/>
        </w:rPr>
      </w:pPr>
      <w:r>
        <w:rPr>
          <w:rFonts w:hint="eastAsia" w:ascii="Times New Roman" w:hAnsi="Times New Roman" w:eastAsia="宋体" w:cs="Times New Roman"/>
          <w:b/>
          <w:bCs/>
          <w:color w:val="000000"/>
          <w:kern w:val="28"/>
          <w:sz w:val="30"/>
          <w:szCs w:val="32"/>
        </w:rPr>
        <w:t>二、学院转专业实施细则</w:t>
      </w:r>
    </w:p>
    <w:p w14:paraId="5720B05C">
      <w:pPr>
        <w:spacing w:line="360" w:lineRule="auto"/>
        <w:ind w:firstLine="480" w:firstLineChars="200"/>
        <w:jc w:val="left"/>
        <w:rPr>
          <w:rFonts w:ascii="Times New Roman" w:hAnsi="Times New Roman" w:eastAsia="宋体" w:cs="Times New Roman"/>
          <w:color w:val="000000"/>
          <w:sz w:val="24"/>
        </w:rPr>
      </w:pPr>
      <w:r>
        <w:rPr>
          <w:rFonts w:hint="eastAsia" w:ascii="Times New Roman" w:hAnsi="Times New Roman" w:eastAsia="宋体" w:cs="Times New Roman"/>
          <w:color w:val="000000"/>
          <w:sz w:val="24"/>
        </w:rPr>
        <w:t>第二条 分专业设置</w:t>
      </w:r>
    </w:p>
    <w:p w14:paraId="3F904739">
      <w:pPr>
        <w:spacing w:line="360" w:lineRule="auto"/>
        <w:ind w:firstLine="480" w:firstLineChars="200"/>
        <w:jc w:val="left"/>
        <w:rPr>
          <w:rFonts w:ascii="Times New Roman" w:hAnsi="Times New Roman" w:eastAsia="宋体" w:cs="Times New Roman"/>
          <w:color w:val="000000"/>
          <w:sz w:val="24"/>
        </w:rPr>
      </w:pPr>
      <w:r>
        <w:rPr>
          <w:rFonts w:hint="eastAsia" w:ascii="Times New Roman" w:hAnsi="Times New Roman" w:eastAsia="宋体" w:cs="Times New Roman"/>
          <w:color w:val="000000"/>
          <w:sz w:val="24"/>
        </w:rPr>
        <w:t>材料科学与工程专业</w:t>
      </w:r>
      <w:r>
        <w:rPr>
          <w:rFonts w:hint="eastAsia" w:ascii="Times New Roman" w:hAnsi="Times New Roman" w:eastAsia="宋体" w:cs="Times New Roman"/>
          <w:sz w:val="24"/>
        </w:rPr>
        <w:t>（金属材料、无机非金属材料、材料服役安全工程）</w:t>
      </w:r>
      <w:r>
        <w:rPr>
          <w:rFonts w:hint="eastAsia" w:ascii="Times New Roman" w:hAnsi="Times New Roman" w:eastAsia="宋体" w:cs="Times New Roman"/>
          <w:color w:val="000000"/>
          <w:sz w:val="24"/>
        </w:rPr>
        <w:t>和材料成型及控制工程专业。</w:t>
      </w:r>
    </w:p>
    <w:p w14:paraId="34DD3A7B">
      <w:pPr>
        <w:spacing w:line="360" w:lineRule="auto"/>
        <w:ind w:firstLine="480" w:firstLineChars="200"/>
        <w:jc w:val="left"/>
        <w:rPr>
          <w:rFonts w:ascii="Times New Roman" w:hAnsi="Times New Roman" w:eastAsia="宋体" w:cs="宋体"/>
          <w:color w:val="000000"/>
          <w:kern w:val="0"/>
          <w:sz w:val="24"/>
          <w:szCs w:val="21"/>
        </w:rPr>
      </w:pPr>
      <w:r>
        <w:rPr>
          <w:rFonts w:hint="eastAsia" w:ascii="Times New Roman" w:hAnsi="Times New Roman" w:eastAsia="宋体" w:cs="宋体"/>
          <w:color w:val="000000"/>
          <w:kern w:val="0"/>
          <w:sz w:val="24"/>
          <w:szCs w:val="21"/>
        </w:rPr>
        <w:t>第三条 转专业要求</w:t>
      </w:r>
    </w:p>
    <w:p w14:paraId="6FD8257F">
      <w:pPr>
        <w:spacing w:line="360" w:lineRule="auto"/>
        <w:ind w:firstLine="480" w:firstLineChars="200"/>
        <w:jc w:val="left"/>
        <w:rPr>
          <w:rFonts w:ascii="Times New Roman" w:hAnsi="Times New Roman" w:eastAsia="宋体" w:cs="Times New Roman"/>
          <w:bCs/>
          <w:color w:val="000000"/>
          <w:sz w:val="24"/>
          <w:szCs w:val="24"/>
        </w:rPr>
      </w:pPr>
      <w:r>
        <w:rPr>
          <w:rFonts w:hint="eastAsia" w:ascii="Times New Roman" w:hAnsi="Times New Roman" w:eastAsia="宋体" w:cs="宋体"/>
          <w:color w:val="000000"/>
          <w:kern w:val="0"/>
          <w:sz w:val="24"/>
          <w:szCs w:val="21"/>
        </w:rPr>
        <w:t>申请学生满足</w:t>
      </w:r>
      <w:r>
        <w:rPr>
          <w:rFonts w:hint="eastAsia" w:ascii="Times New Roman" w:hAnsi="Times New Roman" w:eastAsia="宋体" w:cs="Times New Roman"/>
          <w:bCs/>
          <w:color w:val="000000"/>
          <w:sz w:val="24"/>
          <w:szCs w:val="24"/>
        </w:rPr>
        <w:t>《西南交通大学本科生转专业管理办法》（西交校教 [2019] 126号）基本要求；</w:t>
      </w:r>
    </w:p>
    <w:p w14:paraId="28F013E8">
      <w:pPr>
        <w:spacing w:line="360" w:lineRule="auto"/>
        <w:ind w:firstLine="480" w:firstLineChars="200"/>
        <w:jc w:val="left"/>
        <w:rPr>
          <w:rFonts w:ascii="Times New Roman" w:hAnsi="Times New Roman" w:eastAsia="宋体" w:cs="Times New Roman"/>
          <w:bCs/>
          <w:color w:val="000000"/>
          <w:sz w:val="24"/>
          <w:szCs w:val="24"/>
        </w:rPr>
      </w:pPr>
      <w:r>
        <w:rPr>
          <w:rFonts w:hint="eastAsia" w:ascii="Times New Roman" w:hAnsi="Times New Roman" w:eastAsia="宋体" w:cs="宋体"/>
          <w:color w:val="000000"/>
          <w:kern w:val="0"/>
          <w:sz w:val="24"/>
          <w:szCs w:val="21"/>
        </w:rPr>
        <w:t>申请学生</w:t>
      </w:r>
      <w:r>
        <w:rPr>
          <w:rFonts w:hint="eastAsia" w:ascii="Times New Roman" w:hAnsi="Times New Roman" w:eastAsia="宋体" w:cs="Times New Roman"/>
          <w:bCs/>
          <w:color w:val="000000"/>
          <w:sz w:val="24"/>
          <w:szCs w:val="24"/>
        </w:rPr>
        <w:t>预修并达到材料科学与工程学院转专业准入课程相关要求；</w:t>
      </w:r>
    </w:p>
    <w:p w14:paraId="0F8DC4BA">
      <w:pPr>
        <w:spacing w:line="360" w:lineRule="auto"/>
        <w:ind w:firstLine="480" w:firstLineChars="200"/>
        <w:jc w:val="left"/>
        <w:rPr>
          <w:rFonts w:ascii="Times New Roman" w:hAnsi="Times New Roman" w:eastAsia="宋体" w:cs="Times New Roman"/>
          <w:bCs/>
          <w:color w:val="000000"/>
          <w:sz w:val="24"/>
          <w:szCs w:val="24"/>
        </w:rPr>
      </w:pPr>
      <w:r>
        <w:rPr>
          <w:rFonts w:hint="eastAsia" w:ascii="Times New Roman" w:hAnsi="Times New Roman" w:eastAsia="宋体" w:cs="宋体"/>
          <w:color w:val="000000"/>
          <w:kern w:val="0"/>
          <w:sz w:val="24"/>
          <w:szCs w:val="21"/>
        </w:rPr>
        <w:t>申请学生</w:t>
      </w:r>
      <w:r>
        <w:rPr>
          <w:rFonts w:hint="eastAsia" w:ascii="Times New Roman" w:hAnsi="Times New Roman" w:eastAsia="宋体" w:cs="Times New Roman"/>
          <w:bCs/>
          <w:color w:val="000000"/>
          <w:sz w:val="24"/>
          <w:szCs w:val="24"/>
        </w:rPr>
        <w:t>通过大学英语四级考试（CET-4）；</w:t>
      </w:r>
    </w:p>
    <w:p w14:paraId="4743DCA5">
      <w:pPr>
        <w:spacing w:line="360" w:lineRule="auto"/>
        <w:ind w:firstLine="480" w:firstLineChars="200"/>
        <w:jc w:val="left"/>
        <w:rPr>
          <w:rFonts w:ascii="Times New Roman" w:hAnsi="Times New Roman" w:eastAsia="宋体" w:cs="Times New Roman"/>
          <w:bCs/>
          <w:color w:val="000000"/>
          <w:sz w:val="24"/>
          <w:szCs w:val="24"/>
        </w:rPr>
      </w:pPr>
      <w:r>
        <w:rPr>
          <w:rFonts w:hint="eastAsia" w:ascii="Times New Roman" w:hAnsi="Times New Roman" w:eastAsia="宋体" w:cs="Times New Roman"/>
          <w:bCs/>
          <w:color w:val="000000"/>
          <w:sz w:val="24"/>
          <w:szCs w:val="24"/>
        </w:rPr>
        <w:t>原则上接收大一、大二本科生。</w:t>
      </w:r>
    </w:p>
    <w:p w14:paraId="19ABA2F8">
      <w:pPr>
        <w:spacing w:line="360" w:lineRule="auto"/>
        <w:ind w:left="420" w:leftChars="200"/>
        <w:jc w:val="left"/>
        <w:outlineLvl w:val="1"/>
        <w:rPr>
          <w:rFonts w:ascii="Times New Roman" w:hAnsi="Times New Roman" w:eastAsia="宋体" w:cs="Times New Roman"/>
          <w:b/>
          <w:color w:val="000000"/>
          <w:sz w:val="24"/>
        </w:rPr>
      </w:pPr>
      <w:r>
        <w:rPr>
          <w:rFonts w:hint="eastAsia" w:ascii="Times New Roman" w:hAnsi="Times New Roman" w:eastAsia="宋体" w:cs="Times New Roman"/>
          <w:b/>
          <w:bCs/>
          <w:color w:val="000000"/>
          <w:kern w:val="28"/>
          <w:sz w:val="30"/>
          <w:szCs w:val="32"/>
        </w:rPr>
        <w:t>三、专业准入课程和接收转专业人数</w:t>
      </w:r>
    </w:p>
    <w:p w14:paraId="4831C8E5">
      <w:pPr>
        <w:spacing w:line="360" w:lineRule="auto"/>
        <w:ind w:firstLine="480" w:firstLineChars="200"/>
        <w:rPr>
          <w:rFonts w:ascii="Times New Roman" w:hAnsi="Times New Roman" w:eastAsia="宋体" w:cs="Times New Roman"/>
          <w:color w:val="000000"/>
          <w:sz w:val="24"/>
        </w:rPr>
      </w:pPr>
      <w:r>
        <w:rPr>
          <w:rFonts w:hint="eastAsia" w:ascii="Times New Roman" w:hAnsi="Times New Roman" w:eastAsia="宋体" w:cs="Times New Roman"/>
          <w:color w:val="000000"/>
          <w:sz w:val="24"/>
        </w:rPr>
        <w:t>第四条  学院相关专业的准入课程为：</w:t>
      </w:r>
    </w:p>
    <w:p w14:paraId="45FA2AEF">
      <w:pPr>
        <w:spacing w:line="360" w:lineRule="auto"/>
        <w:ind w:firstLine="240" w:firstLineChars="100"/>
        <w:rPr>
          <w:rFonts w:ascii="Times New Roman" w:hAnsi="Times New Roman" w:eastAsia="宋体" w:cs="Times New Roman"/>
          <w:color w:val="000000"/>
          <w:sz w:val="24"/>
        </w:rPr>
      </w:pPr>
      <w:r>
        <w:rPr>
          <w:rFonts w:hint="eastAsia" w:ascii="Times New Roman" w:hAnsi="Times New Roman" w:eastAsia="宋体" w:cs="Times New Roman"/>
          <w:color w:val="000000"/>
          <w:sz w:val="24"/>
        </w:rPr>
        <w:t>1、材料科学与工程专业准入课程：</w:t>
      </w:r>
    </w:p>
    <w:tbl>
      <w:tblPr>
        <w:tblStyle w:val="6"/>
        <w:tblW w:w="4652" w:type="pct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124"/>
        <w:gridCol w:w="1053"/>
        <w:gridCol w:w="1606"/>
        <w:gridCol w:w="1573"/>
        <w:gridCol w:w="1573"/>
      </w:tblGrid>
      <w:tr w14:paraId="1F01E0D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344" w:type="pct"/>
            <w:vAlign w:val="center"/>
          </w:tcPr>
          <w:p w14:paraId="194D8AF2">
            <w:pPr>
              <w:adjustRightInd w:val="0"/>
              <w:snapToGrid w:val="0"/>
              <w:spacing w:line="360" w:lineRule="auto"/>
              <w:jc w:val="center"/>
              <w:outlineLvl w:val="0"/>
              <w:rPr>
                <w:rFonts w:ascii="Times New Roman" w:hAnsi="Times New Roman" w:eastAsia="宋体" w:cs="Times New Roman"/>
                <w:b/>
                <w:bCs/>
                <w:color w:val="000000"/>
                <w:kern w:val="0"/>
                <w:sz w:val="20"/>
                <w:szCs w:val="21"/>
              </w:rPr>
            </w:pPr>
            <w:r>
              <w:rPr>
                <w:rFonts w:hint="eastAsia" w:ascii="Times New Roman" w:hAnsi="Times New Roman" w:eastAsia="宋体" w:cs="Times New Roman"/>
                <w:b/>
                <w:bCs/>
                <w:color w:val="000000"/>
                <w:kern w:val="0"/>
                <w:sz w:val="20"/>
                <w:szCs w:val="21"/>
              </w:rPr>
              <w:t>课程名称</w:t>
            </w:r>
          </w:p>
        </w:tc>
        <w:tc>
          <w:tcPr>
            <w:tcW w:w="668" w:type="pct"/>
            <w:vAlign w:val="center"/>
          </w:tcPr>
          <w:p w14:paraId="1278C2F0">
            <w:pPr>
              <w:adjustRightInd w:val="0"/>
              <w:snapToGrid w:val="0"/>
              <w:spacing w:line="360" w:lineRule="auto"/>
              <w:jc w:val="center"/>
              <w:outlineLvl w:val="0"/>
              <w:rPr>
                <w:rFonts w:ascii="Times New Roman" w:hAnsi="Times New Roman" w:eastAsia="宋体" w:cs="Times New Roman"/>
                <w:b/>
                <w:bCs/>
                <w:color w:val="000000"/>
                <w:kern w:val="0"/>
                <w:sz w:val="20"/>
                <w:szCs w:val="21"/>
              </w:rPr>
            </w:pPr>
            <w:r>
              <w:rPr>
                <w:rFonts w:hint="eastAsia" w:ascii="Times New Roman" w:hAnsi="Times New Roman" w:eastAsia="宋体" w:cs="Times New Roman"/>
                <w:b/>
                <w:bCs/>
                <w:color w:val="000000"/>
                <w:kern w:val="0"/>
                <w:sz w:val="20"/>
                <w:szCs w:val="21"/>
              </w:rPr>
              <w:t>课程</w:t>
            </w:r>
          </w:p>
          <w:p w14:paraId="29452A55">
            <w:pPr>
              <w:adjustRightInd w:val="0"/>
              <w:snapToGrid w:val="0"/>
              <w:spacing w:line="360" w:lineRule="auto"/>
              <w:jc w:val="center"/>
              <w:outlineLvl w:val="0"/>
              <w:rPr>
                <w:rFonts w:ascii="Times New Roman" w:hAnsi="Times New Roman" w:eastAsia="宋体" w:cs="Times New Roman"/>
                <w:b/>
                <w:bCs/>
                <w:color w:val="000000"/>
                <w:kern w:val="0"/>
                <w:sz w:val="20"/>
                <w:szCs w:val="21"/>
              </w:rPr>
            </w:pPr>
            <w:r>
              <w:rPr>
                <w:rFonts w:hint="eastAsia" w:ascii="Times New Roman" w:hAnsi="Times New Roman" w:eastAsia="宋体" w:cs="Times New Roman"/>
                <w:b/>
                <w:bCs/>
                <w:color w:val="000000"/>
                <w:kern w:val="0"/>
                <w:sz w:val="20"/>
                <w:szCs w:val="21"/>
              </w:rPr>
              <w:t>学分</w:t>
            </w:r>
          </w:p>
        </w:tc>
        <w:tc>
          <w:tcPr>
            <w:tcW w:w="996" w:type="pct"/>
            <w:vAlign w:val="center"/>
          </w:tcPr>
          <w:p w14:paraId="03A21CA9">
            <w:pPr>
              <w:adjustRightInd w:val="0"/>
              <w:snapToGrid w:val="0"/>
              <w:spacing w:line="360" w:lineRule="auto"/>
              <w:jc w:val="center"/>
              <w:outlineLvl w:val="0"/>
              <w:rPr>
                <w:rFonts w:ascii="Times New Roman" w:hAnsi="Times New Roman" w:eastAsia="宋体" w:cs="Times New Roman"/>
                <w:b/>
                <w:bCs/>
                <w:color w:val="000000"/>
                <w:kern w:val="0"/>
                <w:sz w:val="20"/>
                <w:szCs w:val="21"/>
              </w:rPr>
            </w:pPr>
            <w:r>
              <w:rPr>
                <w:rFonts w:hint="eastAsia" w:ascii="Times New Roman" w:hAnsi="Times New Roman" w:eastAsia="宋体" w:cs="Times New Roman"/>
                <w:b/>
                <w:bCs/>
                <w:color w:val="000000"/>
                <w:kern w:val="0"/>
                <w:sz w:val="20"/>
                <w:szCs w:val="21"/>
              </w:rPr>
              <w:t>课程代码</w:t>
            </w:r>
          </w:p>
        </w:tc>
        <w:tc>
          <w:tcPr>
            <w:tcW w:w="996" w:type="pct"/>
            <w:vAlign w:val="center"/>
          </w:tcPr>
          <w:p w14:paraId="0254C2E2">
            <w:pPr>
              <w:adjustRightInd w:val="0"/>
              <w:snapToGrid w:val="0"/>
              <w:spacing w:line="360" w:lineRule="auto"/>
              <w:jc w:val="center"/>
              <w:outlineLvl w:val="0"/>
              <w:rPr>
                <w:rFonts w:ascii="Times New Roman" w:hAnsi="Times New Roman" w:eastAsia="宋体" w:cs="Times New Roman"/>
                <w:b/>
                <w:bCs/>
                <w:color w:val="000000"/>
                <w:kern w:val="0"/>
                <w:sz w:val="20"/>
                <w:szCs w:val="21"/>
              </w:rPr>
            </w:pPr>
            <w:r>
              <w:rPr>
                <w:rFonts w:hint="eastAsia" w:ascii="Times New Roman" w:hAnsi="Times New Roman" w:eastAsia="宋体" w:cs="Times New Roman"/>
                <w:b/>
                <w:bCs/>
                <w:color w:val="000000"/>
                <w:kern w:val="0"/>
                <w:sz w:val="20"/>
                <w:szCs w:val="21"/>
              </w:rPr>
              <w:t>面向</w:t>
            </w:r>
            <w:r>
              <w:rPr>
                <w:rFonts w:ascii="Times New Roman" w:hAnsi="Times New Roman" w:eastAsia="宋体" w:cs="Times New Roman"/>
                <w:b/>
                <w:bCs/>
                <w:color w:val="000000"/>
                <w:kern w:val="0"/>
                <w:sz w:val="20"/>
                <w:szCs w:val="21"/>
              </w:rPr>
              <w:t>年级</w:t>
            </w:r>
          </w:p>
        </w:tc>
        <w:tc>
          <w:tcPr>
            <w:tcW w:w="996" w:type="pct"/>
            <w:vAlign w:val="center"/>
          </w:tcPr>
          <w:p w14:paraId="31C238CF">
            <w:pPr>
              <w:adjustRightInd w:val="0"/>
              <w:snapToGrid w:val="0"/>
              <w:spacing w:line="360" w:lineRule="auto"/>
              <w:jc w:val="center"/>
              <w:outlineLvl w:val="0"/>
              <w:rPr>
                <w:rFonts w:ascii="Times New Roman" w:hAnsi="Times New Roman" w:eastAsia="宋体" w:cs="Times New Roman"/>
                <w:b/>
                <w:bCs/>
                <w:color w:val="000000"/>
                <w:kern w:val="0"/>
                <w:sz w:val="20"/>
                <w:szCs w:val="21"/>
              </w:rPr>
            </w:pPr>
            <w:r>
              <w:rPr>
                <w:rFonts w:hint="eastAsia" w:ascii="Times New Roman" w:hAnsi="Times New Roman" w:eastAsia="宋体" w:cs="Times New Roman"/>
                <w:b/>
                <w:bCs/>
                <w:color w:val="000000"/>
                <w:kern w:val="0"/>
                <w:sz w:val="20"/>
                <w:szCs w:val="21"/>
              </w:rPr>
              <w:t>备注</w:t>
            </w:r>
          </w:p>
          <w:p w14:paraId="3B020A35">
            <w:pPr>
              <w:adjustRightInd w:val="0"/>
              <w:snapToGrid w:val="0"/>
              <w:spacing w:line="360" w:lineRule="auto"/>
              <w:jc w:val="center"/>
              <w:outlineLvl w:val="0"/>
              <w:rPr>
                <w:rFonts w:ascii="Times New Roman" w:hAnsi="Times New Roman" w:eastAsia="宋体" w:cs="Times New Roman"/>
                <w:b/>
                <w:bCs/>
                <w:color w:val="000000"/>
                <w:kern w:val="0"/>
                <w:sz w:val="20"/>
                <w:szCs w:val="21"/>
              </w:rPr>
            </w:pPr>
            <w:r>
              <w:rPr>
                <w:rFonts w:hint="eastAsia" w:ascii="Times New Roman" w:hAnsi="Times New Roman" w:eastAsia="宋体" w:cs="Times New Roman"/>
                <w:b/>
                <w:bCs/>
                <w:color w:val="000000"/>
                <w:kern w:val="0"/>
                <w:sz w:val="20"/>
                <w:szCs w:val="21"/>
              </w:rPr>
              <w:t>（成绩要求）</w:t>
            </w:r>
          </w:p>
        </w:tc>
      </w:tr>
      <w:tr w14:paraId="7D8CD39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344" w:type="pct"/>
            <w:vAlign w:val="center"/>
          </w:tcPr>
          <w:p w14:paraId="51B215FF">
            <w:pPr>
              <w:adjustRightInd w:val="0"/>
              <w:snapToGrid w:val="0"/>
              <w:spacing w:line="360" w:lineRule="auto"/>
              <w:jc w:val="center"/>
              <w:outlineLvl w:val="0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1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0"/>
                <w:szCs w:val="21"/>
              </w:rPr>
              <w:t>高等数学I、II</w:t>
            </w:r>
          </w:p>
        </w:tc>
        <w:tc>
          <w:tcPr>
            <w:tcW w:w="668" w:type="pct"/>
            <w:vAlign w:val="center"/>
          </w:tcPr>
          <w:p w14:paraId="33029079">
            <w:pPr>
              <w:adjustRightInd w:val="0"/>
              <w:snapToGrid w:val="0"/>
              <w:spacing w:line="360" w:lineRule="auto"/>
              <w:jc w:val="center"/>
              <w:outlineLvl w:val="0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1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0"/>
                <w:szCs w:val="21"/>
              </w:rPr>
              <w:t>5+5</w:t>
            </w:r>
          </w:p>
        </w:tc>
        <w:tc>
          <w:tcPr>
            <w:tcW w:w="996" w:type="pct"/>
            <w:vAlign w:val="center"/>
          </w:tcPr>
          <w:p w14:paraId="20BBBE46">
            <w:pPr>
              <w:adjustRightInd w:val="0"/>
              <w:snapToGrid w:val="0"/>
              <w:spacing w:line="360" w:lineRule="auto"/>
              <w:jc w:val="center"/>
              <w:outlineLvl w:val="0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1"/>
              </w:rPr>
            </w:pPr>
            <w:r>
              <w:rPr>
                <w:rFonts w:ascii="Times New Roman" w:hAnsi="Times New Roman" w:eastAsia="宋体" w:cs="Times New Roman"/>
                <w:bCs/>
                <w:color w:val="000000"/>
                <w:kern w:val="0"/>
                <w:sz w:val="20"/>
                <w:szCs w:val="21"/>
              </w:rPr>
              <w:t>MATH000812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0"/>
                <w:szCs w:val="21"/>
              </w:rPr>
              <w:t>、</w:t>
            </w:r>
            <w:r>
              <w:rPr>
                <w:rFonts w:ascii="Times New Roman" w:hAnsi="Times New Roman" w:eastAsia="宋体" w:cs="Times New Roman"/>
                <w:bCs/>
                <w:color w:val="000000"/>
                <w:kern w:val="28"/>
                <w:sz w:val="20"/>
                <w:szCs w:val="24"/>
              </w:rPr>
              <w:t>MATH011512</w:t>
            </w:r>
          </w:p>
        </w:tc>
        <w:tc>
          <w:tcPr>
            <w:tcW w:w="996" w:type="pct"/>
            <w:vAlign w:val="center"/>
          </w:tcPr>
          <w:p w14:paraId="1A17AB12">
            <w:pPr>
              <w:adjustRightInd w:val="0"/>
              <w:snapToGrid w:val="0"/>
              <w:spacing w:line="360" w:lineRule="auto"/>
              <w:jc w:val="center"/>
              <w:outlineLvl w:val="0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1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0"/>
                <w:szCs w:val="21"/>
              </w:rPr>
              <w:t>一年级、</w:t>
            </w:r>
          </w:p>
          <w:p w14:paraId="09A20B44">
            <w:pPr>
              <w:adjustRightInd w:val="0"/>
              <w:snapToGrid w:val="0"/>
              <w:spacing w:line="360" w:lineRule="auto"/>
              <w:jc w:val="center"/>
              <w:outlineLvl w:val="0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1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0"/>
                <w:szCs w:val="21"/>
              </w:rPr>
              <w:t>二年级</w:t>
            </w:r>
          </w:p>
        </w:tc>
        <w:tc>
          <w:tcPr>
            <w:tcW w:w="996" w:type="pct"/>
            <w:vAlign w:val="center"/>
          </w:tcPr>
          <w:p w14:paraId="239DA29B">
            <w:pPr>
              <w:adjustRightInd w:val="0"/>
              <w:snapToGrid w:val="0"/>
              <w:spacing w:line="360" w:lineRule="auto"/>
              <w:jc w:val="center"/>
              <w:outlineLvl w:val="0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1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0"/>
                <w:szCs w:val="21"/>
              </w:rPr>
              <w:t>70分以上</w:t>
            </w:r>
          </w:p>
        </w:tc>
      </w:tr>
      <w:tr w14:paraId="5B0E9D6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344" w:type="pct"/>
            <w:vAlign w:val="center"/>
          </w:tcPr>
          <w:p w14:paraId="7A6E78F8">
            <w:pPr>
              <w:adjustRightInd w:val="0"/>
              <w:snapToGrid w:val="0"/>
              <w:spacing w:line="360" w:lineRule="auto"/>
              <w:jc w:val="center"/>
              <w:outlineLvl w:val="0"/>
              <w:rPr>
                <w:rFonts w:ascii="Times New Roman" w:hAnsi="Times New Roman" w:eastAsia="宋体" w:cs="Times New Roman"/>
                <w:bCs/>
                <w:color w:val="000000"/>
                <w:kern w:val="28"/>
                <w:sz w:val="20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bCs/>
                <w:color w:val="000000"/>
                <w:kern w:val="28"/>
                <w:sz w:val="20"/>
                <w:szCs w:val="24"/>
              </w:rPr>
              <w:t>英语I、II</w:t>
            </w:r>
          </w:p>
        </w:tc>
        <w:tc>
          <w:tcPr>
            <w:tcW w:w="668" w:type="pct"/>
            <w:vAlign w:val="center"/>
          </w:tcPr>
          <w:p w14:paraId="1E2AFA09">
            <w:pPr>
              <w:adjustRightInd w:val="0"/>
              <w:snapToGrid w:val="0"/>
              <w:spacing w:line="360" w:lineRule="auto"/>
              <w:jc w:val="center"/>
              <w:outlineLvl w:val="0"/>
              <w:rPr>
                <w:rFonts w:ascii="Times New Roman" w:hAnsi="Times New Roman" w:eastAsia="宋体" w:cs="Times New Roman"/>
                <w:bCs/>
                <w:color w:val="000000"/>
                <w:kern w:val="28"/>
                <w:sz w:val="20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bCs/>
                <w:color w:val="000000"/>
                <w:kern w:val="28"/>
                <w:sz w:val="20"/>
                <w:szCs w:val="24"/>
              </w:rPr>
              <w:t>2+2</w:t>
            </w:r>
          </w:p>
        </w:tc>
        <w:tc>
          <w:tcPr>
            <w:tcW w:w="996" w:type="pct"/>
            <w:vAlign w:val="center"/>
          </w:tcPr>
          <w:p w14:paraId="24512F56">
            <w:pPr>
              <w:adjustRightInd w:val="0"/>
              <w:snapToGrid w:val="0"/>
              <w:spacing w:line="360" w:lineRule="auto"/>
              <w:jc w:val="center"/>
              <w:outlineLvl w:val="0"/>
              <w:rPr>
                <w:rFonts w:ascii="Times New Roman" w:hAnsi="Times New Roman" w:eastAsia="宋体" w:cs="Times New Roman"/>
                <w:bCs/>
                <w:color w:val="000000"/>
                <w:kern w:val="28"/>
                <w:sz w:val="20"/>
                <w:szCs w:val="24"/>
              </w:rPr>
            </w:pPr>
            <w:r>
              <w:rPr>
                <w:rFonts w:ascii="Times New Roman" w:hAnsi="Times New Roman" w:eastAsia="宋体" w:cs="Times New Roman"/>
                <w:bCs/>
                <w:color w:val="000000"/>
                <w:kern w:val="28"/>
                <w:sz w:val="20"/>
                <w:szCs w:val="24"/>
              </w:rPr>
              <w:t>SoFL001511</w:t>
            </w:r>
            <w:r>
              <w:rPr>
                <w:rFonts w:hint="eastAsia" w:ascii="Times New Roman" w:hAnsi="Times New Roman" w:eastAsia="宋体" w:cs="Times New Roman"/>
                <w:bCs/>
                <w:color w:val="000000"/>
                <w:kern w:val="28"/>
                <w:sz w:val="20"/>
                <w:szCs w:val="24"/>
              </w:rPr>
              <w:t>、</w:t>
            </w:r>
            <w:r>
              <w:rPr>
                <w:rFonts w:ascii="Times New Roman" w:hAnsi="Times New Roman" w:eastAsia="宋体" w:cs="Times New Roman"/>
                <w:bCs/>
                <w:color w:val="000000"/>
                <w:kern w:val="28"/>
                <w:sz w:val="20"/>
                <w:szCs w:val="24"/>
              </w:rPr>
              <w:t>SoFL000512</w:t>
            </w:r>
          </w:p>
        </w:tc>
        <w:tc>
          <w:tcPr>
            <w:tcW w:w="996" w:type="pct"/>
            <w:vAlign w:val="center"/>
          </w:tcPr>
          <w:p w14:paraId="476390AC">
            <w:pPr>
              <w:adjustRightInd w:val="0"/>
              <w:snapToGrid w:val="0"/>
              <w:spacing w:line="360" w:lineRule="auto"/>
              <w:jc w:val="center"/>
              <w:outlineLvl w:val="0"/>
              <w:rPr>
                <w:rFonts w:ascii="Times New Roman" w:hAnsi="Times New Roman" w:eastAsia="宋体" w:cs="Times New Roman"/>
                <w:bCs/>
                <w:color w:val="000000"/>
                <w:kern w:val="28"/>
                <w:sz w:val="20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bCs/>
                <w:color w:val="000000"/>
                <w:kern w:val="28"/>
                <w:sz w:val="20"/>
                <w:szCs w:val="24"/>
              </w:rPr>
              <w:t>一</w:t>
            </w:r>
            <w:r>
              <w:rPr>
                <w:rFonts w:ascii="Times New Roman" w:hAnsi="Times New Roman" w:eastAsia="宋体" w:cs="Times New Roman"/>
                <w:bCs/>
                <w:color w:val="000000"/>
                <w:kern w:val="28"/>
                <w:sz w:val="20"/>
                <w:szCs w:val="24"/>
              </w:rPr>
              <w:t>年级</w:t>
            </w:r>
            <w:r>
              <w:rPr>
                <w:rFonts w:hint="eastAsia" w:ascii="Times New Roman" w:hAnsi="Times New Roman" w:eastAsia="宋体" w:cs="Times New Roman"/>
                <w:bCs/>
                <w:color w:val="000000"/>
                <w:kern w:val="28"/>
                <w:sz w:val="20"/>
                <w:szCs w:val="24"/>
              </w:rPr>
              <w:t>、</w:t>
            </w:r>
          </w:p>
          <w:p w14:paraId="3DCD4957">
            <w:pPr>
              <w:adjustRightInd w:val="0"/>
              <w:snapToGrid w:val="0"/>
              <w:spacing w:line="360" w:lineRule="auto"/>
              <w:jc w:val="center"/>
              <w:outlineLvl w:val="0"/>
              <w:rPr>
                <w:rFonts w:ascii="Times New Roman" w:hAnsi="Times New Roman" w:eastAsia="宋体" w:cs="Times New Roman"/>
                <w:bCs/>
                <w:color w:val="000000"/>
                <w:kern w:val="28"/>
                <w:sz w:val="20"/>
                <w:szCs w:val="24"/>
              </w:rPr>
            </w:pPr>
            <w:r>
              <w:rPr>
                <w:rFonts w:ascii="Times New Roman" w:hAnsi="Times New Roman" w:eastAsia="宋体" w:cs="Times New Roman"/>
                <w:bCs/>
                <w:color w:val="000000"/>
                <w:kern w:val="28"/>
                <w:sz w:val="20"/>
                <w:szCs w:val="24"/>
              </w:rPr>
              <w:t>二年级</w:t>
            </w:r>
          </w:p>
        </w:tc>
        <w:tc>
          <w:tcPr>
            <w:tcW w:w="996" w:type="pct"/>
            <w:vAlign w:val="center"/>
          </w:tcPr>
          <w:p w14:paraId="1A511C8C">
            <w:pPr>
              <w:adjustRightInd w:val="0"/>
              <w:snapToGrid w:val="0"/>
              <w:spacing w:line="360" w:lineRule="auto"/>
              <w:jc w:val="center"/>
              <w:outlineLvl w:val="0"/>
              <w:rPr>
                <w:rFonts w:ascii="Times New Roman" w:hAnsi="Times New Roman" w:eastAsia="宋体" w:cs="Times New Roman"/>
                <w:bCs/>
                <w:color w:val="000000"/>
                <w:kern w:val="28"/>
                <w:sz w:val="20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bCs/>
                <w:color w:val="000000"/>
                <w:kern w:val="28"/>
                <w:sz w:val="20"/>
                <w:szCs w:val="24"/>
              </w:rPr>
              <w:t>70分以上</w:t>
            </w:r>
          </w:p>
        </w:tc>
      </w:tr>
      <w:tr w14:paraId="44BA0C7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2" w:hRule="atLeast"/>
          <w:jc w:val="center"/>
        </w:trPr>
        <w:tc>
          <w:tcPr>
            <w:tcW w:w="1344" w:type="pct"/>
            <w:vAlign w:val="center"/>
          </w:tcPr>
          <w:p w14:paraId="55F9BA36">
            <w:pPr>
              <w:adjustRightInd w:val="0"/>
              <w:snapToGrid w:val="0"/>
              <w:spacing w:line="360" w:lineRule="auto"/>
              <w:jc w:val="center"/>
              <w:outlineLvl w:val="0"/>
              <w:rPr>
                <w:rFonts w:ascii="Times New Roman" w:hAnsi="Times New Roman" w:eastAsia="宋体" w:cs="Times New Roman"/>
                <w:bCs/>
                <w:kern w:val="28"/>
                <w:sz w:val="20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bCs/>
                <w:kern w:val="28"/>
                <w:sz w:val="20"/>
                <w:szCs w:val="24"/>
              </w:rPr>
              <w:t>工程化学A</w:t>
            </w:r>
          </w:p>
        </w:tc>
        <w:tc>
          <w:tcPr>
            <w:tcW w:w="668" w:type="pct"/>
            <w:vAlign w:val="center"/>
          </w:tcPr>
          <w:p w14:paraId="7312A725">
            <w:pPr>
              <w:adjustRightInd w:val="0"/>
              <w:snapToGrid w:val="0"/>
              <w:spacing w:line="360" w:lineRule="auto"/>
              <w:jc w:val="center"/>
              <w:outlineLvl w:val="0"/>
              <w:rPr>
                <w:rFonts w:ascii="Times New Roman" w:hAnsi="Times New Roman" w:eastAsia="宋体" w:cs="Times New Roman"/>
                <w:bCs/>
                <w:kern w:val="28"/>
                <w:sz w:val="20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bCs/>
                <w:kern w:val="28"/>
                <w:sz w:val="20"/>
                <w:szCs w:val="24"/>
              </w:rPr>
              <w:t>3</w:t>
            </w:r>
          </w:p>
        </w:tc>
        <w:tc>
          <w:tcPr>
            <w:tcW w:w="996" w:type="pct"/>
            <w:vAlign w:val="center"/>
          </w:tcPr>
          <w:p w14:paraId="7B8C2BB6">
            <w:pPr>
              <w:adjustRightInd w:val="0"/>
              <w:snapToGrid w:val="0"/>
              <w:spacing w:line="360" w:lineRule="auto"/>
              <w:jc w:val="center"/>
              <w:outlineLvl w:val="0"/>
              <w:rPr>
                <w:rFonts w:ascii="Times New Roman" w:hAnsi="Times New Roman" w:eastAsia="宋体" w:cs="Times New Roman"/>
                <w:bCs/>
                <w:color w:val="000000"/>
                <w:kern w:val="28"/>
                <w:sz w:val="20"/>
                <w:szCs w:val="24"/>
              </w:rPr>
            </w:pPr>
            <w:r>
              <w:rPr>
                <w:rFonts w:ascii="Times New Roman" w:hAnsi="Times New Roman" w:eastAsia="宋体" w:cs="Times New Roman"/>
                <w:bCs/>
                <w:color w:val="000000"/>
                <w:kern w:val="28"/>
                <w:sz w:val="20"/>
                <w:szCs w:val="24"/>
              </w:rPr>
              <w:t>CHEM000112</w:t>
            </w:r>
          </w:p>
        </w:tc>
        <w:tc>
          <w:tcPr>
            <w:tcW w:w="996" w:type="pct"/>
            <w:vAlign w:val="center"/>
          </w:tcPr>
          <w:p w14:paraId="62D92BFB">
            <w:pPr>
              <w:adjustRightInd w:val="0"/>
              <w:snapToGrid w:val="0"/>
              <w:spacing w:line="360" w:lineRule="auto"/>
              <w:jc w:val="center"/>
              <w:outlineLvl w:val="0"/>
              <w:rPr>
                <w:rFonts w:ascii="Times New Roman" w:hAnsi="Times New Roman" w:eastAsia="宋体" w:cs="Times New Roman"/>
                <w:bCs/>
                <w:kern w:val="28"/>
                <w:sz w:val="20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bCs/>
                <w:kern w:val="28"/>
                <w:sz w:val="20"/>
                <w:szCs w:val="24"/>
              </w:rPr>
              <w:t>二年级</w:t>
            </w:r>
          </w:p>
        </w:tc>
        <w:tc>
          <w:tcPr>
            <w:tcW w:w="996" w:type="pct"/>
            <w:vAlign w:val="center"/>
          </w:tcPr>
          <w:p w14:paraId="3F127F9B">
            <w:pPr>
              <w:adjustRightInd w:val="0"/>
              <w:snapToGrid w:val="0"/>
              <w:spacing w:line="360" w:lineRule="auto"/>
              <w:jc w:val="center"/>
              <w:outlineLvl w:val="0"/>
              <w:rPr>
                <w:rFonts w:ascii="Times New Roman" w:hAnsi="Times New Roman" w:eastAsia="宋体" w:cs="Times New Roman"/>
                <w:bCs/>
                <w:color w:val="000000"/>
                <w:kern w:val="28"/>
                <w:sz w:val="20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bCs/>
                <w:color w:val="000000"/>
                <w:kern w:val="28"/>
                <w:sz w:val="20"/>
                <w:szCs w:val="24"/>
              </w:rPr>
              <w:t>70分以上</w:t>
            </w:r>
          </w:p>
        </w:tc>
      </w:tr>
      <w:tr w14:paraId="4AF2E64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4" w:hRule="atLeast"/>
          <w:jc w:val="center"/>
        </w:trPr>
        <w:tc>
          <w:tcPr>
            <w:tcW w:w="1344" w:type="pct"/>
            <w:vAlign w:val="center"/>
          </w:tcPr>
          <w:p w14:paraId="43254300">
            <w:pPr>
              <w:adjustRightInd w:val="0"/>
              <w:snapToGrid w:val="0"/>
              <w:spacing w:line="360" w:lineRule="auto"/>
              <w:jc w:val="center"/>
              <w:outlineLvl w:val="0"/>
              <w:rPr>
                <w:rFonts w:ascii="Times New Roman" w:hAnsi="Times New Roman" w:eastAsia="宋体" w:cs="Times New Roman"/>
                <w:bCs/>
                <w:kern w:val="28"/>
                <w:sz w:val="20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bCs/>
                <w:kern w:val="28"/>
                <w:sz w:val="20"/>
                <w:szCs w:val="24"/>
              </w:rPr>
              <w:t>物理化学A</w:t>
            </w:r>
          </w:p>
        </w:tc>
        <w:tc>
          <w:tcPr>
            <w:tcW w:w="668" w:type="pct"/>
            <w:vAlign w:val="center"/>
          </w:tcPr>
          <w:p w14:paraId="45218F38">
            <w:pPr>
              <w:adjustRightInd w:val="0"/>
              <w:snapToGrid w:val="0"/>
              <w:spacing w:line="360" w:lineRule="auto"/>
              <w:jc w:val="center"/>
              <w:outlineLvl w:val="0"/>
              <w:rPr>
                <w:rFonts w:ascii="Times New Roman" w:hAnsi="Times New Roman" w:eastAsia="宋体" w:cs="Times New Roman"/>
                <w:bCs/>
                <w:kern w:val="28"/>
                <w:sz w:val="20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bCs/>
                <w:kern w:val="28"/>
                <w:sz w:val="20"/>
                <w:szCs w:val="24"/>
              </w:rPr>
              <w:t>3</w:t>
            </w:r>
          </w:p>
        </w:tc>
        <w:tc>
          <w:tcPr>
            <w:tcW w:w="996" w:type="pct"/>
            <w:vAlign w:val="center"/>
          </w:tcPr>
          <w:p w14:paraId="44B2193D">
            <w:pPr>
              <w:adjustRightInd w:val="0"/>
              <w:snapToGrid w:val="0"/>
              <w:spacing w:line="360" w:lineRule="auto"/>
              <w:jc w:val="center"/>
              <w:outlineLvl w:val="0"/>
              <w:rPr>
                <w:rFonts w:ascii="Times New Roman" w:hAnsi="Times New Roman" w:eastAsia="宋体" w:cs="Times New Roman"/>
                <w:bCs/>
                <w:kern w:val="28"/>
                <w:sz w:val="20"/>
                <w:szCs w:val="24"/>
              </w:rPr>
            </w:pPr>
            <w:r>
              <w:rPr>
                <w:rFonts w:ascii="Times New Roman" w:hAnsi="Times New Roman" w:eastAsia="宋体" w:cs="Times New Roman"/>
                <w:bCs/>
                <w:kern w:val="28"/>
                <w:sz w:val="20"/>
                <w:szCs w:val="24"/>
              </w:rPr>
              <w:t>MASE001312</w:t>
            </w:r>
          </w:p>
        </w:tc>
        <w:tc>
          <w:tcPr>
            <w:tcW w:w="996" w:type="pct"/>
            <w:vAlign w:val="center"/>
          </w:tcPr>
          <w:p w14:paraId="31F2A139">
            <w:pPr>
              <w:adjustRightInd w:val="0"/>
              <w:snapToGrid w:val="0"/>
              <w:spacing w:line="360" w:lineRule="auto"/>
              <w:jc w:val="center"/>
              <w:outlineLvl w:val="0"/>
              <w:rPr>
                <w:rFonts w:ascii="Times New Roman" w:hAnsi="Times New Roman" w:eastAsia="宋体" w:cs="Times New Roman"/>
                <w:bCs/>
                <w:kern w:val="28"/>
                <w:sz w:val="20"/>
                <w:szCs w:val="24"/>
              </w:rPr>
            </w:pPr>
            <w:r>
              <w:rPr>
                <w:rFonts w:ascii="Times New Roman" w:hAnsi="Times New Roman" w:eastAsia="宋体" w:cs="Times New Roman"/>
                <w:bCs/>
                <w:kern w:val="28"/>
                <w:sz w:val="20"/>
                <w:szCs w:val="24"/>
              </w:rPr>
              <w:t>二年级</w:t>
            </w:r>
          </w:p>
        </w:tc>
        <w:tc>
          <w:tcPr>
            <w:tcW w:w="996" w:type="pct"/>
            <w:vAlign w:val="center"/>
          </w:tcPr>
          <w:p w14:paraId="3FB8C0D6">
            <w:pPr>
              <w:adjustRightInd w:val="0"/>
              <w:snapToGrid w:val="0"/>
              <w:spacing w:line="360" w:lineRule="auto"/>
              <w:jc w:val="center"/>
              <w:outlineLvl w:val="0"/>
              <w:rPr>
                <w:rFonts w:ascii="Times New Roman" w:hAnsi="Times New Roman" w:eastAsia="宋体" w:cs="Times New Roman"/>
                <w:bCs/>
                <w:color w:val="000000"/>
                <w:kern w:val="28"/>
                <w:sz w:val="20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bCs/>
                <w:color w:val="000000"/>
                <w:kern w:val="28"/>
                <w:sz w:val="20"/>
                <w:szCs w:val="24"/>
              </w:rPr>
              <w:t>70分以上</w:t>
            </w:r>
          </w:p>
        </w:tc>
      </w:tr>
      <w:tr w14:paraId="6493808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79" w:hRule="atLeast"/>
          <w:jc w:val="center"/>
        </w:trPr>
        <w:tc>
          <w:tcPr>
            <w:tcW w:w="1344" w:type="pct"/>
            <w:vAlign w:val="center"/>
          </w:tcPr>
          <w:p w14:paraId="576B133A">
            <w:pPr>
              <w:adjustRightInd w:val="0"/>
              <w:snapToGrid w:val="0"/>
              <w:spacing w:line="360" w:lineRule="auto"/>
              <w:jc w:val="center"/>
              <w:outlineLvl w:val="0"/>
              <w:rPr>
                <w:rFonts w:ascii="Times New Roman" w:hAnsi="Times New Roman" w:eastAsia="宋体" w:cs="Times New Roman"/>
                <w:bCs/>
                <w:color w:val="000000"/>
                <w:kern w:val="28"/>
                <w:sz w:val="20"/>
                <w:szCs w:val="24"/>
              </w:rPr>
            </w:pPr>
            <w:bookmarkStart w:id="4" w:name="OLE_LINK3"/>
            <w:bookmarkStart w:id="5" w:name="OLE_LINK2"/>
            <w:r>
              <w:rPr>
                <w:rFonts w:hint="eastAsia" w:ascii="Times New Roman" w:hAnsi="Times New Roman" w:eastAsia="宋体" w:cs="Times New Roman"/>
                <w:bCs/>
                <w:color w:val="000000"/>
                <w:kern w:val="28"/>
                <w:sz w:val="20"/>
                <w:szCs w:val="24"/>
              </w:rPr>
              <w:t>材料科学基础</w:t>
            </w:r>
            <w:bookmarkEnd w:id="4"/>
            <w:bookmarkEnd w:id="5"/>
            <w:r>
              <w:rPr>
                <w:rFonts w:hint="eastAsia" w:ascii="Times New Roman" w:hAnsi="Times New Roman" w:eastAsia="宋体" w:cs="Times New Roman"/>
                <w:bCs/>
                <w:color w:val="000000"/>
                <w:kern w:val="28"/>
                <w:sz w:val="20"/>
                <w:szCs w:val="24"/>
              </w:rPr>
              <w:t>AI、AII</w:t>
            </w:r>
          </w:p>
        </w:tc>
        <w:tc>
          <w:tcPr>
            <w:tcW w:w="668" w:type="pct"/>
            <w:vAlign w:val="center"/>
          </w:tcPr>
          <w:p w14:paraId="0DEC8AF4">
            <w:pPr>
              <w:adjustRightInd w:val="0"/>
              <w:snapToGrid w:val="0"/>
              <w:spacing w:line="360" w:lineRule="auto"/>
              <w:jc w:val="center"/>
              <w:outlineLvl w:val="0"/>
              <w:rPr>
                <w:rFonts w:ascii="Times New Roman" w:hAnsi="Times New Roman" w:eastAsia="宋体" w:cs="Times New Roman"/>
                <w:bCs/>
                <w:color w:val="000000"/>
                <w:kern w:val="28"/>
                <w:sz w:val="20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bCs/>
                <w:color w:val="000000"/>
                <w:kern w:val="28"/>
                <w:sz w:val="20"/>
                <w:szCs w:val="24"/>
              </w:rPr>
              <w:t>4+3</w:t>
            </w:r>
          </w:p>
        </w:tc>
        <w:tc>
          <w:tcPr>
            <w:tcW w:w="996" w:type="pct"/>
            <w:vAlign w:val="center"/>
          </w:tcPr>
          <w:p w14:paraId="53C7B246">
            <w:pPr>
              <w:adjustRightInd w:val="0"/>
              <w:snapToGrid w:val="0"/>
              <w:spacing w:line="360" w:lineRule="auto"/>
              <w:jc w:val="center"/>
              <w:outlineLvl w:val="0"/>
              <w:rPr>
                <w:rFonts w:ascii="Times New Roman" w:hAnsi="Times New Roman" w:eastAsia="宋体" w:cs="Times New Roman"/>
                <w:bCs/>
                <w:color w:val="000000"/>
                <w:kern w:val="28"/>
                <w:sz w:val="20"/>
                <w:szCs w:val="24"/>
              </w:rPr>
            </w:pPr>
            <w:r>
              <w:rPr>
                <w:rFonts w:ascii="Times New Roman" w:hAnsi="Times New Roman" w:eastAsia="宋体" w:cs="Times New Roman"/>
                <w:bCs/>
                <w:color w:val="000000"/>
                <w:kern w:val="28"/>
                <w:sz w:val="20"/>
                <w:szCs w:val="24"/>
              </w:rPr>
              <w:t>MASE005712</w:t>
            </w:r>
            <w:r>
              <w:rPr>
                <w:rFonts w:hint="eastAsia" w:ascii="Times New Roman" w:hAnsi="Times New Roman" w:eastAsia="宋体" w:cs="Times New Roman"/>
                <w:bCs/>
                <w:color w:val="000000"/>
                <w:kern w:val="28"/>
                <w:sz w:val="20"/>
                <w:szCs w:val="24"/>
              </w:rPr>
              <w:t>、</w:t>
            </w:r>
            <w:r>
              <w:rPr>
                <w:rFonts w:ascii="Times New Roman" w:hAnsi="Times New Roman" w:eastAsia="宋体" w:cs="Times New Roman"/>
                <w:bCs/>
                <w:color w:val="000000"/>
                <w:kern w:val="28"/>
                <w:sz w:val="20"/>
                <w:szCs w:val="24"/>
              </w:rPr>
              <w:t>MASE005812</w:t>
            </w:r>
          </w:p>
          <w:p w14:paraId="2F43823C">
            <w:pPr>
              <w:adjustRightInd w:val="0"/>
              <w:snapToGrid w:val="0"/>
              <w:spacing w:line="360" w:lineRule="auto"/>
              <w:jc w:val="center"/>
              <w:outlineLvl w:val="0"/>
              <w:rPr>
                <w:rFonts w:ascii="Times New Roman" w:hAnsi="Times New Roman" w:eastAsia="宋体" w:cs="Times New Roman"/>
                <w:bCs/>
                <w:color w:val="000000"/>
                <w:kern w:val="28"/>
                <w:sz w:val="20"/>
                <w:szCs w:val="24"/>
              </w:rPr>
            </w:pPr>
          </w:p>
        </w:tc>
        <w:tc>
          <w:tcPr>
            <w:tcW w:w="996" w:type="pct"/>
            <w:vAlign w:val="center"/>
          </w:tcPr>
          <w:p w14:paraId="279C2EE3">
            <w:pPr>
              <w:adjustRightInd w:val="0"/>
              <w:snapToGrid w:val="0"/>
              <w:spacing w:line="360" w:lineRule="auto"/>
              <w:jc w:val="center"/>
              <w:outlineLvl w:val="0"/>
              <w:rPr>
                <w:rFonts w:ascii="Times New Roman" w:hAnsi="Times New Roman" w:eastAsia="宋体" w:cs="Times New Roman"/>
                <w:bCs/>
                <w:color w:val="000000"/>
                <w:kern w:val="28"/>
                <w:sz w:val="20"/>
                <w:szCs w:val="24"/>
              </w:rPr>
            </w:pPr>
            <w:r>
              <w:rPr>
                <w:rFonts w:ascii="Times New Roman" w:hAnsi="Times New Roman" w:eastAsia="宋体" w:cs="Times New Roman"/>
                <w:bCs/>
                <w:color w:val="000000"/>
                <w:kern w:val="28"/>
                <w:sz w:val="20"/>
                <w:szCs w:val="24"/>
              </w:rPr>
              <w:t>二年级</w:t>
            </w:r>
          </w:p>
        </w:tc>
        <w:tc>
          <w:tcPr>
            <w:tcW w:w="996" w:type="pct"/>
            <w:vAlign w:val="center"/>
          </w:tcPr>
          <w:p w14:paraId="7A2C6AC7">
            <w:pPr>
              <w:adjustRightInd w:val="0"/>
              <w:snapToGrid w:val="0"/>
              <w:spacing w:line="360" w:lineRule="auto"/>
              <w:jc w:val="center"/>
              <w:outlineLvl w:val="0"/>
              <w:rPr>
                <w:rFonts w:ascii="Times New Roman" w:hAnsi="Times New Roman" w:eastAsia="宋体" w:cs="Times New Roman"/>
                <w:bCs/>
                <w:color w:val="000000"/>
                <w:kern w:val="28"/>
                <w:sz w:val="20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bCs/>
                <w:color w:val="000000"/>
                <w:kern w:val="28"/>
                <w:sz w:val="20"/>
                <w:szCs w:val="24"/>
              </w:rPr>
              <w:t>70分以上</w:t>
            </w:r>
          </w:p>
        </w:tc>
      </w:tr>
    </w:tbl>
    <w:p w14:paraId="1ECA18CA">
      <w:pPr>
        <w:spacing w:line="360" w:lineRule="auto"/>
        <w:ind w:firstLine="240" w:firstLineChars="100"/>
        <w:jc w:val="left"/>
        <w:rPr>
          <w:rFonts w:ascii="Times New Roman" w:hAnsi="Times New Roman" w:eastAsia="宋体" w:cs="Times New Roman"/>
          <w:color w:val="000000"/>
          <w:sz w:val="24"/>
        </w:rPr>
      </w:pPr>
      <w:r>
        <w:rPr>
          <w:rFonts w:hint="eastAsia" w:ascii="Times New Roman" w:hAnsi="Times New Roman" w:eastAsia="宋体" w:cs="Times New Roman"/>
          <w:color w:val="000000"/>
          <w:sz w:val="24"/>
        </w:rPr>
        <w:t>2、材料成型及控制工程准入课程：</w:t>
      </w:r>
    </w:p>
    <w:tbl>
      <w:tblPr>
        <w:tblStyle w:val="5"/>
        <w:tblW w:w="4616" w:type="pct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179"/>
        <w:gridCol w:w="966"/>
        <w:gridCol w:w="1649"/>
        <w:gridCol w:w="1537"/>
        <w:gridCol w:w="1537"/>
      </w:tblGrid>
      <w:tr w14:paraId="5E4D861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0" w:hRule="atLeast"/>
          <w:jc w:val="center"/>
        </w:trPr>
        <w:tc>
          <w:tcPr>
            <w:tcW w:w="1385" w:type="pct"/>
            <w:vAlign w:val="center"/>
          </w:tcPr>
          <w:p w14:paraId="31197759">
            <w:pPr>
              <w:adjustRightInd w:val="0"/>
              <w:snapToGrid w:val="0"/>
              <w:spacing w:line="360" w:lineRule="auto"/>
              <w:jc w:val="center"/>
              <w:outlineLvl w:val="0"/>
              <w:rPr>
                <w:rFonts w:ascii="Times New Roman" w:hAnsi="Times New Roman" w:eastAsia="宋体" w:cs="Times New Roman"/>
                <w:b/>
                <w:color w:val="000000"/>
                <w:kern w:val="28"/>
                <w:sz w:val="20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b/>
                <w:color w:val="000000"/>
                <w:kern w:val="28"/>
                <w:sz w:val="20"/>
                <w:szCs w:val="24"/>
              </w:rPr>
              <w:t>课程名称</w:t>
            </w:r>
          </w:p>
        </w:tc>
        <w:tc>
          <w:tcPr>
            <w:tcW w:w="614" w:type="pct"/>
            <w:vAlign w:val="center"/>
          </w:tcPr>
          <w:p w14:paraId="516C5FE6">
            <w:pPr>
              <w:adjustRightInd w:val="0"/>
              <w:snapToGrid w:val="0"/>
              <w:spacing w:line="360" w:lineRule="auto"/>
              <w:jc w:val="center"/>
              <w:outlineLvl w:val="0"/>
              <w:rPr>
                <w:rFonts w:ascii="Times New Roman" w:hAnsi="Times New Roman" w:eastAsia="宋体" w:cs="Times New Roman"/>
                <w:b/>
                <w:color w:val="000000"/>
                <w:kern w:val="28"/>
                <w:sz w:val="20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b/>
                <w:color w:val="000000"/>
                <w:kern w:val="28"/>
                <w:sz w:val="20"/>
                <w:szCs w:val="24"/>
              </w:rPr>
              <w:t>课程</w:t>
            </w:r>
          </w:p>
          <w:p w14:paraId="0F1FBE5B">
            <w:pPr>
              <w:adjustRightInd w:val="0"/>
              <w:snapToGrid w:val="0"/>
              <w:spacing w:line="360" w:lineRule="auto"/>
              <w:jc w:val="center"/>
              <w:outlineLvl w:val="0"/>
              <w:rPr>
                <w:rFonts w:ascii="Times New Roman" w:hAnsi="Times New Roman" w:eastAsia="宋体" w:cs="Times New Roman"/>
                <w:b/>
                <w:color w:val="000000"/>
                <w:kern w:val="28"/>
                <w:sz w:val="20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b/>
                <w:color w:val="000000"/>
                <w:kern w:val="28"/>
                <w:sz w:val="20"/>
                <w:szCs w:val="24"/>
              </w:rPr>
              <w:t>学分</w:t>
            </w:r>
          </w:p>
        </w:tc>
        <w:tc>
          <w:tcPr>
            <w:tcW w:w="1048" w:type="pct"/>
            <w:vAlign w:val="center"/>
          </w:tcPr>
          <w:p w14:paraId="042E7A2A">
            <w:pPr>
              <w:adjustRightInd w:val="0"/>
              <w:snapToGrid w:val="0"/>
              <w:spacing w:line="360" w:lineRule="auto"/>
              <w:jc w:val="center"/>
              <w:outlineLvl w:val="0"/>
              <w:rPr>
                <w:rFonts w:ascii="Times New Roman" w:hAnsi="Times New Roman" w:eastAsia="宋体" w:cs="Times New Roman"/>
                <w:b/>
                <w:color w:val="000000"/>
                <w:kern w:val="28"/>
                <w:sz w:val="20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b/>
                <w:color w:val="000000"/>
                <w:kern w:val="28"/>
                <w:sz w:val="20"/>
                <w:szCs w:val="24"/>
              </w:rPr>
              <w:t>课程代码</w:t>
            </w:r>
          </w:p>
        </w:tc>
        <w:tc>
          <w:tcPr>
            <w:tcW w:w="977" w:type="pct"/>
            <w:vAlign w:val="center"/>
          </w:tcPr>
          <w:p w14:paraId="1F5EE478">
            <w:pPr>
              <w:adjustRightInd w:val="0"/>
              <w:snapToGrid w:val="0"/>
              <w:spacing w:line="360" w:lineRule="auto"/>
              <w:jc w:val="center"/>
              <w:outlineLvl w:val="0"/>
              <w:rPr>
                <w:rFonts w:ascii="Times New Roman" w:hAnsi="Times New Roman" w:eastAsia="宋体" w:cs="Times New Roman"/>
                <w:b/>
                <w:color w:val="000000"/>
                <w:kern w:val="28"/>
                <w:sz w:val="20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b/>
                <w:color w:val="000000"/>
                <w:kern w:val="28"/>
                <w:sz w:val="20"/>
                <w:szCs w:val="24"/>
              </w:rPr>
              <w:t>面向</w:t>
            </w:r>
            <w:r>
              <w:rPr>
                <w:rFonts w:ascii="Times New Roman" w:hAnsi="Times New Roman" w:eastAsia="宋体" w:cs="Times New Roman"/>
                <w:b/>
                <w:color w:val="000000"/>
                <w:kern w:val="28"/>
                <w:sz w:val="20"/>
                <w:szCs w:val="24"/>
              </w:rPr>
              <w:t>年级</w:t>
            </w:r>
          </w:p>
        </w:tc>
        <w:tc>
          <w:tcPr>
            <w:tcW w:w="976" w:type="pct"/>
            <w:vAlign w:val="center"/>
          </w:tcPr>
          <w:p w14:paraId="0B80D77C">
            <w:pPr>
              <w:adjustRightInd w:val="0"/>
              <w:snapToGrid w:val="0"/>
              <w:spacing w:line="360" w:lineRule="auto"/>
              <w:jc w:val="center"/>
              <w:outlineLvl w:val="0"/>
              <w:rPr>
                <w:rFonts w:ascii="Times New Roman" w:hAnsi="Times New Roman" w:eastAsia="宋体" w:cs="Times New Roman"/>
                <w:b/>
                <w:color w:val="000000"/>
                <w:kern w:val="28"/>
                <w:sz w:val="20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b/>
                <w:color w:val="000000"/>
                <w:kern w:val="28"/>
                <w:sz w:val="20"/>
                <w:szCs w:val="24"/>
              </w:rPr>
              <w:t>备注</w:t>
            </w:r>
          </w:p>
          <w:p w14:paraId="4A64266C">
            <w:pPr>
              <w:adjustRightInd w:val="0"/>
              <w:snapToGrid w:val="0"/>
              <w:spacing w:line="360" w:lineRule="auto"/>
              <w:jc w:val="center"/>
              <w:outlineLvl w:val="0"/>
              <w:rPr>
                <w:rFonts w:ascii="Times New Roman" w:hAnsi="Times New Roman" w:eastAsia="宋体" w:cs="Times New Roman"/>
                <w:b/>
                <w:color w:val="000000"/>
                <w:kern w:val="28"/>
                <w:sz w:val="20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b/>
                <w:color w:val="000000"/>
                <w:kern w:val="28"/>
                <w:sz w:val="20"/>
                <w:szCs w:val="24"/>
              </w:rPr>
              <w:t>（成绩要求）</w:t>
            </w:r>
          </w:p>
        </w:tc>
      </w:tr>
      <w:tr w14:paraId="23DC173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0" w:hRule="atLeast"/>
          <w:jc w:val="center"/>
        </w:trPr>
        <w:tc>
          <w:tcPr>
            <w:tcW w:w="1385" w:type="pct"/>
            <w:vAlign w:val="center"/>
          </w:tcPr>
          <w:p w14:paraId="2D2FF2B2">
            <w:pPr>
              <w:adjustRightInd w:val="0"/>
              <w:snapToGrid w:val="0"/>
              <w:spacing w:line="360" w:lineRule="auto"/>
              <w:jc w:val="center"/>
              <w:outlineLvl w:val="0"/>
              <w:rPr>
                <w:rFonts w:ascii="Times New Roman" w:hAnsi="Times New Roman" w:eastAsia="宋体" w:cs="Times New Roman"/>
                <w:bCs/>
                <w:color w:val="000000"/>
                <w:kern w:val="28"/>
                <w:sz w:val="20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bCs/>
                <w:color w:val="000000"/>
                <w:kern w:val="28"/>
                <w:sz w:val="20"/>
                <w:szCs w:val="24"/>
              </w:rPr>
              <w:t>高等数学I、II</w:t>
            </w:r>
          </w:p>
        </w:tc>
        <w:tc>
          <w:tcPr>
            <w:tcW w:w="614" w:type="pct"/>
            <w:vAlign w:val="center"/>
          </w:tcPr>
          <w:p w14:paraId="162F4D7E">
            <w:pPr>
              <w:adjustRightInd w:val="0"/>
              <w:snapToGrid w:val="0"/>
              <w:spacing w:line="360" w:lineRule="auto"/>
              <w:jc w:val="center"/>
              <w:outlineLvl w:val="0"/>
              <w:rPr>
                <w:rFonts w:ascii="Times New Roman" w:hAnsi="Times New Roman" w:eastAsia="宋体" w:cs="Times New Roman"/>
                <w:bCs/>
                <w:color w:val="000000"/>
                <w:kern w:val="28"/>
                <w:sz w:val="20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bCs/>
                <w:color w:val="000000"/>
                <w:kern w:val="28"/>
                <w:sz w:val="20"/>
                <w:szCs w:val="24"/>
              </w:rPr>
              <w:t>5+5</w:t>
            </w:r>
          </w:p>
        </w:tc>
        <w:tc>
          <w:tcPr>
            <w:tcW w:w="1048" w:type="pct"/>
            <w:vAlign w:val="center"/>
          </w:tcPr>
          <w:p w14:paraId="26246DE1">
            <w:pPr>
              <w:adjustRightInd w:val="0"/>
              <w:snapToGrid w:val="0"/>
              <w:spacing w:line="360" w:lineRule="auto"/>
              <w:jc w:val="center"/>
              <w:outlineLvl w:val="0"/>
              <w:rPr>
                <w:rFonts w:ascii="Times New Roman" w:hAnsi="Times New Roman" w:eastAsia="宋体" w:cs="Times New Roman"/>
                <w:bCs/>
                <w:color w:val="000000"/>
                <w:kern w:val="28"/>
                <w:sz w:val="20"/>
                <w:szCs w:val="24"/>
              </w:rPr>
            </w:pPr>
            <w:r>
              <w:rPr>
                <w:rFonts w:ascii="Times New Roman" w:hAnsi="Times New Roman" w:eastAsia="宋体" w:cs="Times New Roman"/>
                <w:bCs/>
                <w:color w:val="000000"/>
                <w:kern w:val="28"/>
                <w:sz w:val="20"/>
                <w:szCs w:val="24"/>
              </w:rPr>
              <w:t>MATH000812</w:t>
            </w:r>
            <w:r>
              <w:rPr>
                <w:rFonts w:hint="eastAsia" w:ascii="Times New Roman" w:hAnsi="Times New Roman" w:eastAsia="宋体" w:cs="Times New Roman"/>
                <w:bCs/>
                <w:color w:val="000000"/>
                <w:kern w:val="28"/>
                <w:sz w:val="20"/>
                <w:szCs w:val="24"/>
              </w:rPr>
              <w:t>、</w:t>
            </w:r>
            <w:r>
              <w:rPr>
                <w:rFonts w:ascii="Times New Roman" w:hAnsi="Times New Roman" w:eastAsia="宋体" w:cs="Times New Roman"/>
                <w:bCs/>
                <w:color w:val="000000"/>
                <w:kern w:val="28"/>
                <w:sz w:val="20"/>
                <w:szCs w:val="24"/>
              </w:rPr>
              <w:t>MATH011512</w:t>
            </w:r>
          </w:p>
        </w:tc>
        <w:tc>
          <w:tcPr>
            <w:tcW w:w="977" w:type="pct"/>
            <w:vAlign w:val="center"/>
          </w:tcPr>
          <w:p w14:paraId="54551230">
            <w:pPr>
              <w:adjustRightInd w:val="0"/>
              <w:snapToGrid w:val="0"/>
              <w:spacing w:line="360" w:lineRule="auto"/>
              <w:jc w:val="center"/>
              <w:outlineLvl w:val="0"/>
              <w:rPr>
                <w:rFonts w:ascii="Times New Roman" w:hAnsi="Times New Roman" w:eastAsia="宋体" w:cs="Times New Roman"/>
                <w:bCs/>
                <w:color w:val="000000"/>
                <w:kern w:val="28"/>
                <w:sz w:val="20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bCs/>
                <w:color w:val="000000"/>
                <w:kern w:val="28"/>
                <w:sz w:val="20"/>
                <w:szCs w:val="24"/>
              </w:rPr>
              <w:t>一年级、</w:t>
            </w:r>
          </w:p>
          <w:p w14:paraId="3CEDF1C2">
            <w:pPr>
              <w:adjustRightInd w:val="0"/>
              <w:snapToGrid w:val="0"/>
              <w:spacing w:line="360" w:lineRule="auto"/>
              <w:jc w:val="center"/>
              <w:outlineLvl w:val="0"/>
              <w:rPr>
                <w:rFonts w:ascii="Times New Roman" w:hAnsi="Times New Roman" w:eastAsia="宋体" w:cs="Times New Roman"/>
                <w:bCs/>
                <w:color w:val="000000"/>
                <w:kern w:val="28"/>
                <w:sz w:val="20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bCs/>
                <w:color w:val="000000"/>
                <w:kern w:val="28"/>
                <w:sz w:val="20"/>
                <w:szCs w:val="24"/>
              </w:rPr>
              <w:t>二年级</w:t>
            </w:r>
          </w:p>
        </w:tc>
        <w:tc>
          <w:tcPr>
            <w:tcW w:w="976" w:type="pct"/>
            <w:vAlign w:val="center"/>
          </w:tcPr>
          <w:p w14:paraId="45A502D5">
            <w:pPr>
              <w:adjustRightInd w:val="0"/>
              <w:snapToGrid w:val="0"/>
              <w:spacing w:line="360" w:lineRule="auto"/>
              <w:jc w:val="center"/>
              <w:outlineLvl w:val="0"/>
              <w:rPr>
                <w:rFonts w:ascii="Times New Roman" w:hAnsi="Times New Roman" w:eastAsia="宋体" w:cs="Times New Roman"/>
                <w:bCs/>
                <w:color w:val="000000"/>
                <w:kern w:val="28"/>
                <w:sz w:val="20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bCs/>
                <w:color w:val="000000"/>
                <w:kern w:val="28"/>
                <w:sz w:val="20"/>
                <w:szCs w:val="24"/>
              </w:rPr>
              <w:t>70分以上</w:t>
            </w:r>
          </w:p>
        </w:tc>
      </w:tr>
      <w:tr w14:paraId="0926313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0" w:hRule="atLeast"/>
          <w:jc w:val="center"/>
        </w:trPr>
        <w:tc>
          <w:tcPr>
            <w:tcW w:w="1385" w:type="pct"/>
            <w:vAlign w:val="center"/>
          </w:tcPr>
          <w:p w14:paraId="0EBF32A8">
            <w:pPr>
              <w:adjustRightInd w:val="0"/>
              <w:snapToGrid w:val="0"/>
              <w:spacing w:line="360" w:lineRule="auto"/>
              <w:jc w:val="center"/>
              <w:outlineLvl w:val="0"/>
              <w:rPr>
                <w:rFonts w:ascii="Times New Roman" w:hAnsi="Times New Roman" w:eastAsia="宋体" w:cs="Times New Roman"/>
                <w:bCs/>
                <w:color w:val="000000"/>
                <w:kern w:val="28"/>
                <w:sz w:val="20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bCs/>
                <w:color w:val="000000"/>
                <w:kern w:val="28"/>
                <w:sz w:val="20"/>
                <w:szCs w:val="24"/>
              </w:rPr>
              <w:t>英语I、II</w:t>
            </w:r>
          </w:p>
        </w:tc>
        <w:tc>
          <w:tcPr>
            <w:tcW w:w="614" w:type="pct"/>
            <w:vAlign w:val="center"/>
          </w:tcPr>
          <w:p w14:paraId="75B9B0A3">
            <w:pPr>
              <w:adjustRightInd w:val="0"/>
              <w:snapToGrid w:val="0"/>
              <w:spacing w:line="360" w:lineRule="auto"/>
              <w:jc w:val="center"/>
              <w:outlineLvl w:val="0"/>
              <w:rPr>
                <w:rFonts w:ascii="Times New Roman" w:hAnsi="Times New Roman" w:eastAsia="宋体" w:cs="Times New Roman"/>
                <w:bCs/>
                <w:color w:val="000000"/>
                <w:kern w:val="28"/>
                <w:sz w:val="20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bCs/>
                <w:color w:val="000000"/>
                <w:kern w:val="28"/>
                <w:sz w:val="20"/>
                <w:szCs w:val="24"/>
              </w:rPr>
              <w:t>2+2</w:t>
            </w:r>
          </w:p>
        </w:tc>
        <w:tc>
          <w:tcPr>
            <w:tcW w:w="1048" w:type="pct"/>
            <w:vAlign w:val="center"/>
          </w:tcPr>
          <w:p w14:paraId="1BD5689F">
            <w:pPr>
              <w:adjustRightInd w:val="0"/>
              <w:snapToGrid w:val="0"/>
              <w:spacing w:line="360" w:lineRule="auto"/>
              <w:jc w:val="center"/>
              <w:outlineLvl w:val="0"/>
              <w:rPr>
                <w:rFonts w:ascii="Times New Roman" w:hAnsi="Times New Roman" w:eastAsia="宋体" w:cs="Times New Roman"/>
                <w:bCs/>
                <w:color w:val="000000"/>
                <w:kern w:val="28"/>
                <w:sz w:val="20"/>
                <w:szCs w:val="24"/>
              </w:rPr>
            </w:pPr>
            <w:r>
              <w:rPr>
                <w:rFonts w:ascii="Times New Roman" w:hAnsi="Times New Roman" w:eastAsia="宋体" w:cs="Times New Roman"/>
                <w:bCs/>
                <w:color w:val="000000"/>
                <w:kern w:val="28"/>
                <w:sz w:val="20"/>
                <w:szCs w:val="24"/>
              </w:rPr>
              <w:t>SoFL001511</w:t>
            </w:r>
            <w:r>
              <w:rPr>
                <w:rFonts w:hint="eastAsia" w:ascii="Times New Roman" w:hAnsi="Times New Roman" w:eastAsia="宋体" w:cs="Times New Roman"/>
                <w:bCs/>
                <w:color w:val="000000"/>
                <w:kern w:val="28"/>
                <w:sz w:val="20"/>
                <w:szCs w:val="24"/>
              </w:rPr>
              <w:t>、</w:t>
            </w:r>
            <w:r>
              <w:rPr>
                <w:rFonts w:ascii="Times New Roman" w:hAnsi="Times New Roman" w:eastAsia="宋体" w:cs="Times New Roman"/>
                <w:bCs/>
                <w:color w:val="000000"/>
                <w:kern w:val="28"/>
                <w:sz w:val="20"/>
                <w:szCs w:val="24"/>
              </w:rPr>
              <w:t>SoFL000512</w:t>
            </w:r>
          </w:p>
        </w:tc>
        <w:tc>
          <w:tcPr>
            <w:tcW w:w="977" w:type="pct"/>
            <w:vAlign w:val="center"/>
          </w:tcPr>
          <w:p w14:paraId="5CD784D2">
            <w:pPr>
              <w:adjustRightInd w:val="0"/>
              <w:snapToGrid w:val="0"/>
              <w:spacing w:line="360" w:lineRule="auto"/>
              <w:jc w:val="center"/>
              <w:outlineLvl w:val="0"/>
              <w:rPr>
                <w:rFonts w:ascii="Times New Roman" w:hAnsi="Times New Roman" w:eastAsia="宋体" w:cs="Times New Roman"/>
                <w:bCs/>
                <w:color w:val="000000"/>
                <w:kern w:val="28"/>
                <w:sz w:val="20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bCs/>
                <w:color w:val="000000"/>
                <w:kern w:val="28"/>
                <w:sz w:val="20"/>
                <w:szCs w:val="24"/>
              </w:rPr>
              <w:t>一</w:t>
            </w:r>
            <w:r>
              <w:rPr>
                <w:rFonts w:ascii="Times New Roman" w:hAnsi="Times New Roman" w:eastAsia="宋体" w:cs="Times New Roman"/>
                <w:bCs/>
                <w:color w:val="000000"/>
                <w:kern w:val="28"/>
                <w:sz w:val="20"/>
                <w:szCs w:val="24"/>
              </w:rPr>
              <w:t>年级</w:t>
            </w:r>
            <w:r>
              <w:rPr>
                <w:rFonts w:hint="eastAsia" w:ascii="Times New Roman" w:hAnsi="Times New Roman" w:eastAsia="宋体" w:cs="Times New Roman"/>
                <w:bCs/>
                <w:color w:val="000000"/>
                <w:kern w:val="28"/>
                <w:sz w:val="20"/>
                <w:szCs w:val="24"/>
              </w:rPr>
              <w:t>、</w:t>
            </w:r>
          </w:p>
          <w:p w14:paraId="236DCABB">
            <w:pPr>
              <w:adjustRightInd w:val="0"/>
              <w:snapToGrid w:val="0"/>
              <w:spacing w:line="360" w:lineRule="auto"/>
              <w:jc w:val="center"/>
              <w:outlineLvl w:val="0"/>
              <w:rPr>
                <w:rFonts w:ascii="Times New Roman" w:hAnsi="Times New Roman" w:eastAsia="宋体" w:cs="Times New Roman"/>
                <w:bCs/>
                <w:color w:val="000000"/>
                <w:kern w:val="28"/>
                <w:sz w:val="20"/>
                <w:szCs w:val="24"/>
              </w:rPr>
            </w:pPr>
            <w:r>
              <w:rPr>
                <w:rFonts w:ascii="Times New Roman" w:hAnsi="Times New Roman" w:eastAsia="宋体" w:cs="Times New Roman"/>
                <w:bCs/>
                <w:color w:val="000000"/>
                <w:kern w:val="28"/>
                <w:sz w:val="20"/>
                <w:szCs w:val="24"/>
              </w:rPr>
              <w:t>二年级</w:t>
            </w:r>
          </w:p>
        </w:tc>
        <w:tc>
          <w:tcPr>
            <w:tcW w:w="976" w:type="pct"/>
            <w:vAlign w:val="center"/>
          </w:tcPr>
          <w:p w14:paraId="7E06A361">
            <w:pPr>
              <w:adjustRightInd w:val="0"/>
              <w:snapToGrid w:val="0"/>
              <w:spacing w:line="360" w:lineRule="auto"/>
              <w:jc w:val="center"/>
              <w:outlineLvl w:val="0"/>
              <w:rPr>
                <w:rFonts w:ascii="Times New Roman" w:hAnsi="Times New Roman" w:eastAsia="宋体" w:cs="Times New Roman"/>
                <w:bCs/>
                <w:color w:val="000000"/>
                <w:kern w:val="28"/>
                <w:sz w:val="20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bCs/>
                <w:color w:val="000000"/>
                <w:kern w:val="28"/>
                <w:sz w:val="20"/>
                <w:szCs w:val="24"/>
              </w:rPr>
              <w:t>70分以上</w:t>
            </w:r>
          </w:p>
        </w:tc>
      </w:tr>
      <w:tr w14:paraId="79CA849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0" w:hRule="atLeast"/>
          <w:jc w:val="center"/>
        </w:trPr>
        <w:tc>
          <w:tcPr>
            <w:tcW w:w="1385" w:type="pct"/>
            <w:vAlign w:val="center"/>
          </w:tcPr>
          <w:p w14:paraId="0C61AB07">
            <w:pPr>
              <w:adjustRightInd w:val="0"/>
              <w:snapToGrid w:val="0"/>
              <w:spacing w:line="360" w:lineRule="auto"/>
              <w:jc w:val="center"/>
              <w:outlineLvl w:val="0"/>
              <w:rPr>
                <w:rFonts w:ascii="Times New Roman" w:hAnsi="Times New Roman" w:eastAsia="宋体" w:cs="Times New Roman"/>
                <w:bCs/>
                <w:color w:val="000000"/>
                <w:kern w:val="28"/>
                <w:sz w:val="20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bCs/>
                <w:color w:val="000000"/>
                <w:kern w:val="28"/>
                <w:sz w:val="20"/>
                <w:szCs w:val="24"/>
              </w:rPr>
              <w:t>工程化学A</w:t>
            </w:r>
          </w:p>
        </w:tc>
        <w:tc>
          <w:tcPr>
            <w:tcW w:w="614" w:type="pct"/>
            <w:vAlign w:val="center"/>
          </w:tcPr>
          <w:p w14:paraId="42F080A4">
            <w:pPr>
              <w:adjustRightInd w:val="0"/>
              <w:snapToGrid w:val="0"/>
              <w:spacing w:line="360" w:lineRule="auto"/>
              <w:jc w:val="center"/>
              <w:outlineLvl w:val="0"/>
              <w:rPr>
                <w:rFonts w:ascii="Times New Roman" w:hAnsi="Times New Roman" w:eastAsia="宋体" w:cs="Times New Roman"/>
                <w:bCs/>
                <w:color w:val="000000"/>
                <w:kern w:val="28"/>
                <w:sz w:val="20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bCs/>
                <w:color w:val="000000"/>
                <w:kern w:val="28"/>
                <w:sz w:val="20"/>
                <w:szCs w:val="24"/>
              </w:rPr>
              <w:t>3</w:t>
            </w:r>
          </w:p>
        </w:tc>
        <w:tc>
          <w:tcPr>
            <w:tcW w:w="1048" w:type="pct"/>
            <w:vAlign w:val="center"/>
          </w:tcPr>
          <w:p w14:paraId="6510A6D8">
            <w:pPr>
              <w:adjustRightInd w:val="0"/>
              <w:snapToGrid w:val="0"/>
              <w:spacing w:line="360" w:lineRule="auto"/>
              <w:jc w:val="center"/>
              <w:outlineLvl w:val="0"/>
              <w:rPr>
                <w:rFonts w:ascii="Times New Roman" w:hAnsi="Times New Roman" w:eastAsia="宋体" w:cs="Times New Roman"/>
                <w:bCs/>
                <w:color w:val="000000"/>
                <w:kern w:val="28"/>
                <w:sz w:val="20"/>
                <w:szCs w:val="24"/>
              </w:rPr>
            </w:pPr>
            <w:r>
              <w:rPr>
                <w:rFonts w:ascii="Times New Roman" w:hAnsi="Times New Roman" w:eastAsia="宋体" w:cs="Times New Roman"/>
                <w:bCs/>
                <w:color w:val="000000"/>
                <w:kern w:val="28"/>
                <w:sz w:val="20"/>
                <w:szCs w:val="24"/>
              </w:rPr>
              <w:t>CHEM000112</w:t>
            </w:r>
          </w:p>
        </w:tc>
        <w:tc>
          <w:tcPr>
            <w:tcW w:w="977" w:type="pct"/>
            <w:vAlign w:val="center"/>
          </w:tcPr>
          <w:p w14:paraId="3166E98D">
            <w:pPr>
              <w:adjustRightInd w:val="0"/>
              <w:snapToGrid w:val="0"/>
              <w:spacing w:line="360" w:lineRule="auto"/>
              <w:jc w:val="center"/>
              <w:outlineLvl w:val="0"/>
              <w:rPr>
                <w:rFonts w:ascii="Times New Roman" w:hAnsi="Times New Roman" w:eastAsia="宋体" w:cs="Times New Roman"/>
                <w:bCs/>
                <w:color w:val="000000"/>
                <w:kern w:val="28"/>
                <w:sz w:val="20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bCs/>
                <w:color w:val="000000"/>
                <w:kern w:val="28"/>
                <w:sz w:val="20"/>
                <w:szCs w:val="24"/>
              </w:rPr>
              <w:t>二年级</w:t>
            </w:r>
          </w:p>
        </w:tc>
        <w:tc>
          <w:tcPr>
            <w:tcW w:w="976" w:type="pct"/>
            <w:vAlign w:val="center"/>
          </w:tcPr>
          <w:p w14:paraId="14D13B7C">
            <w:pPr>
              <w:adjustRightInd w:val="0"/>
              <w:snapToGrid w:val="0"/>
              <w:spacing w:line="360" w:lineRule="auto"/>
              <w:jc w:val="center"/>
              <w:outlineLvl w:val="0"/>
              <w:rPr>
                <w:rFonts w:ascii="Times New Roman" w:hAnsi="Times New Roman" w:eastAsia="宋体" w:cs="Times New Roman"/>
                <w:bCs/>
                <w:color w:val="000000"/>
                <w:kern w:val="28"/>
                <w:sz w:val="20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bCs/>
                <w:color w:val="000000"/>
                <w:kern w:val="28"/>
                <w:sz w:val="20"/>
                <w:szCs w:val="24"/>
              </w:rPr>
              <w:t>70分以上</w:t>
            </w:r>
          </w:p>
        </w:tc>
      </w:tr>
      <w:tr w14:paraId="45EF4AB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2" w:hRule="atLeast"/>
          <w:jc w:val="center"/>
        </w:trPr>
        <w:tc>
          <w:tcPr>
            <w:tcW w:w="1385" w:type="pct"/>
            <w:vAlign w:val="center"/>
          </w:tcPr>
          <w:p w14:paraId="47BC3446">
            <w:pPr>
              <w:adjustRightInd w:val="0"/>
              <w:snapToGrid w:val="0"/>
              <w:spacing w:line="360" w:lineRule="auto"/>
              <w:jc w:val="center"/>
              <w:outlineLvl w:val="0"/>
              <w:rPr>
                <w:rFonts w:ascii="Times New Roman" w:hAnsi="Times New Roman" w:eastAsia="宋体" w:cs="Times New Roman"/>
                <w:bCs/>
                <w:color w:val="000000"/>
                <w:kern w:val="28"/>
                <w:sz w:val="20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bCs/>
                <w:color w:val="000000"/>
                <w:kern w:val="28"/>
                <w:sz w:val="20"/>
                <w:szCs w:val="24"/>
              </w:rPr>
              <w:t>物理化学A</w:t>
            </w:r>
          </w:p>
        </w:tc>
        <w:tc>
          <w:tcPr>
            <w:tcW w:w="614" w:type="pct"/>
            <w:vAlign w:val="center"/>
          </w:tcPr>
          <w:p w14:paraId="0F153EB7">
            <w:pPr>
              <w:adjustRightInd w:val="0"/>
              <w:snapToGrid w:val="0"/>
              <w:spacing w:line="360" w:lineRule="auto"/>
              <w:jc w:val="center"/>
              <w:outlineLvl w:val="0"/>
              <w:rPr>
                <w:rFonts w:ascii="Times New Roman" w:hAnsi="Times New Roman" w:eastAsia="宋体" w:cs="Times New Roman"/>
                <w:bCs/>
                <w:color w:val="000000"/>
                <w:kern w:val="28"/>
                <w:sz w:val="20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bCs/>
                <w:color w:val="000000"/>
                <w:kern w:val="28"/>
                <w:sz w:val="20"/>
                <w:szCs w:val="24"/>
              </w:rPr>
              <w:t>3</w:t>
            </w:r>
          </w:p>
        </w:tc>
        <w:tc>
          <w:tcPr>
            <w:tcW w:w="1048" w:type="pct"/>
            <w:vAlign w:val="center"/>
          </w:tcPr>
          <w:p w14:paraId="4B85392F">
            <w:pPr>
              <w:adjustRightInd w:val="0"/>
              <w:snapToGrid w:val="0"/>
              <w:spacing w:line="360" w:lineRule="auto"/>
              <w:jc w:val="center"/>
              <w:outlineLvl w:val="0"/>
              <w:rPr>
                <w:rFonts w:ascii="Times New Roman" w:hAnsi="Times New Roman" w:eastAsia="宋体" w:cs="Times New Roman"/>
                <w:bCs/>
                <w:color w:val="000000"/>
                <w:kern w:val="28"/>
                <w:sz w:val="20"/>
                <w:szCs w:val="24"/>
              </w:rPr>
            </w:pPr>
            <w:r>
              <w:rPr>
                <w:rFonts w:ascii="Times New Roman" w:hAnsi="Times New Roman" w:eastAsia="宋体" w:cs="Times New Roman"/>
                <w:bCs/>
                <w:color w:val="000000"/>
                <w:kern w:val="28"/>
                <w:sz w:val="20"/>
                <w:szCs w:val="24"/>
              </w:rPr>
              <w:t>MASE001312</w:t>
            </w:r>
          </w:p>
        </w:tc>
        <w:tc>
          <w:tcPr>
            <w:tcW w:w="977" w:type="pct"/>
            <w:vAlign w:val="center"/>
          </w:tcPr>
          <w:p w14:paraId="471C0D1A">
            <w:pPr>
              <w:adjustRightInd w:val="0"/>
              <w:snapToGrid w:val="0"/>
              <w:spacing w:line="360" w:lineRule="auto"/>
              <w:jc w:val="center"/>
              <w:outlineLvl w:val="0"/>
              <w:rPr>
                <w:rFonts w:ascii="Times New Roman" w:hAnsi="Times New Roman" w:eastAsia="宋体" w:cs="Times New Roman"/>
                <w:bCs/>
                <w:color w:val="000000"/>
                <w:kern w:val="28"/>
                <w:sz w:val="20"/>
                <w:szCs w:val="24"/>
              </w:rPr>
            </w:pPr>
            <w:r>
              <w:rPr>
                <w:rFonts w:ascii="Times New Roman" w:hAnsi="Times New Roman" w:eastAsia="宋体" w:cs="Times New Roman"/>
                <w:bCs/>
                <w:color w:val="000000"/>
                <w:kern w:val="28"/>
                <w:sz w:val="20"/>
                <w:szCs w:val="24"/>
              </w:rPr>
              <w:t>二年级</w:t>
            </w:r>
          </w:p>
        </w:tc>
        <w:tc>
          <w:tcPr>
            <w:tcW w:w="976" w:type="pct"/>
            <w:vAlign w:val="center"/>
          </w:tcPr>
          <w:p w14:paraId="1F574722">
            <w:pPr>
              <w:adjustRightInd w:val="0"/>
              <w:snapToGrid w:val="0"/>
              <w:spacing w:line="360" w:lineRule="auto"/>
              <w:jc w:val="center"/>
              <w:outlineLvl w:val="0"/>
              <w:rPr>
                <w:rFonts w:ascii="Times New Roman" w:hAnsi="Times New Roman" w:eastAsia="宋体" w:cs="Times New Roman"/>
                <w:bCs/>
                <w:color w:val="000000"/>
                <w:kern w:val="28"/>
                <w:sz w:val="20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bCs/>
                <w:color w:val="000000"/>
                <w:kern w:val="28"/>
                <w:sz w:val="20"/>
                <w:szCs w:val="24"/>
              </w:rPr>
              <w:t>70分以上</w:t>
            </w:r>
          </w:p>
        </w:tc>
      </w:tr>
      <w:tr w14:paraId="4E39ACE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2" w:hRule="atLeast"/>
          <w:jc w:val="center"/>
        </w:trPr>
        <w:tc>
          <w:tcPr>
            <w:tcW w:w="1385" w:type="pct"/>
            <w:vAlign w:val="center"/>
          </w:tcPr>
          <w:p w14:paraId="1842A80C">
            <w:pPr>
              <w:adjustRightInd w:val="0"/>
              <w:snapToGrid w:val="0"/>
              <w:spacing w:line="360" w:lineRule="auto"/>
              <w:jc w:val="center"/>
              <w:outlineLvl w:val="0"/>
              <w:rPr>
                <w:rFonts w:ascii="Times New Roman" w:hAnsi="Times New Roman" w:eastAsia="宋体" w:cs="Times New Roman"/>
                <w:bCs/>
                <w:color w:val="000000"/>
                <w:kern w:val="28"/>
                <w:sz w:val="20"/>
                <w:szCs w:val="24"/>
              </w:rPr>
            </w:pPr>
            <w:r>
              <w:rPr>
                <w:rFonts w:ascii="Times New Roman" w:hAnsi="Times New Roman" w:eastAsia="宋体" w:cs="Times New Roman"/>
                <w:bCs/>
                <w:color w:val="000000"/>
                <w:kern w:val="28"/>
                <w:sz w:val="20"/>
                <w:szCs w:val="24"/>
              </w:rPr>
              <w:t>材料科学基础</w:t>
            </w:r>
            <w:r>
              <w:rPr>
                <w:rFonts w:hint="eastAsia" w:ascii="Times New Roman" w:hAnsi="Times New Roman" w:eastAsia="宋体" w:cs="Times New Roman"/>
                <w:bCs/>
                <w:color w:val="000000"/>
                <w:kern w:val="28"/>
                <w:sz w:val="20"/>
                <w:szCs w:val="24"/>
              </w:rPr>
              <w:t>B I</w:t>
            </w:r>
          </w:p>
        </w:tc>
        <w:tc>
          <w:tcPr>
            <w:tcW w:w="614" w:type="pct"/>
            <w:vAlign w:val="center"/>
          </w:tcPr>
          <w:p w14:paraId="04F984DF">
            <w:pPr>
              <w:adjustRightInd w:val="0"/>
              <w:snapToGrid w:val="0"/>
              <w:spacing w:line="360" w:lineRule="auto"/>
              <w:jc w:val="center"/>
              <w:outlineLvl w:val="0"/>
              <w:rPr>
                <w:rFonts w:ascii="Times New Roman" w:hAnsi="Times New Roman" w:eastAsia="宋体" w:cs="Times New Roman"/>
                <w:bCs/>
                <w:color w:val="000000"/>
                <w:kern w:val="28"/>
                <w:sz w:val="20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bCs/>
                <w:color w:val="000000"/>
                <w:kern w:val="28"/>
                <w:sz w:val="20"/>
                <w:szCs w:val="24"/>
              </w:rPr>
              <w:t>3</w:t>
            </w:r>
          </w:p>
        </w:tc>
        <w:tc>
          <w:tcPr>
            <w:tcW w:w="1048" w:type="pct"/>
            <w:vAlign w:val="center"/>
          </w:tcPr>
          <w:p w14:paraId="3AF03112">
            <w:pPr>
              <w:adjustRightInd w:val="0"/>
              <w:snapToGrid w:val="0"/>
              <w:spacing w:line="360" w:lineRule="auto"/>
              <w:jc w:val="center"/>
              <w:outlineLvl w:val="0"/>
              <w:rPr>
                <w:rFonts w:ascii="Times New Roman" w:hAnsi="Times New Roman" w:eastAsia="宋体" w:cs="Times New Roman"/>
                <w:bCs/>
                <w:color w:val="000000"/>
                <w:kern w:val="28"/>
                <w:sz w:val="20"/>
                <w:szCs w:val="24"/>
              </w:rPr>
            </w:pPr>
            <w:r>
              <w:rPr>
                <w:rFonts w:ascii="Times New Roman" w:hAnsi="Times New Roman" w:eastAsia="宋体" w:cs="Times New Roman"/>
                <w:bCs/>
                <w:color w:val="000000"/>
                <w:kern w:val="28"/>
                <w:sz w:val="20"/>
                <w:szCs w:val="24"/>
              </w:rPr>
              <w:t>MASE022412</w:t>
            </w:r>
          </w:p>
        </w:tc>
        <w:tc>
          <w:tcPr>
            <w:tcW w:w="977" w:type="pct"/>
            <w:vAlign w:val="center"/>
          </w:tcPr>
          <w:p w14:paraId="62F18F46">
            <w:pPr>
              <w:adjustRightInd w:val="0"/>
              <w:snapToGrid w:val="0"/>
              <w:spacing w:line="360" w:lineRule="auto"/>
              <w:jc w:val="center"/>
              <w:outlineLvl w:val="0"/>
              <w:rPr>
                <w:rFonts w:ascii="Times New Roman" w:hAnsi="Times New Roman" w:eastAsia="宋体" w:cs="Times New Roman"/>
                <w:bCs/>
                <w:color w:val="000000"/>
                <w:kern w:val="28"/>
                <w:sz w:val="20"/>
                <w:szCs w:val="24"/>
              </w:rPr>
            </w:pPr>
            <w:r>
              <w:rPr>
                <w:rFonts w:ascii="Times New Roman" w:hAnsi="Times New Roman" w:eastAsia="宋体" w:cs="Times New Roman"/>
                <w:bCs/>
                <w:color w:val="000000"/>
                <w:kern w:val="28"/>
                <w:sz w:val="20"/>
                <w:szCs w:val="24"/>
              </w:rPr>
              <w:t>二年级</w:t>
            </w:r>
          </w:p>
        </w:tc>
        <w:tc>
          <w:tcPr>
            <w:tcW w:w="976" w:type="pct"/>
            <w:vAlign w:val="center"/>
          </w:tcPr>
          <w:p w14:paraId="37153E27">
            <w:pPr>
              <w:adjustRightInd w:val="0"/>
              <w:snapToGrid w:val="0"/>
              <w:spacing w:line="360" w:lineRule="auto"/>
              <w:jc w:val="center"/>
              <w:outlineLvl w:val="0"/>
              <w:rPr>
                <w:rFonts w:ascii="Times New Roman" w:hAnsi="Times New Roman" w:eastAsia="宋体" w:cs="Times New Roman"/>
                <w:bCs/>
                <w:color w:val="000000"/>
                <w:kern w:val="28"/>
                <w:sz w:val="20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bCs/>
                <w:color w:val="000000"/>
                <w:kern w:val="28"/>
                <w:sz w:val="20"/>
                <w:szCs w:val="24"/>
              </w:rPr>
              <w:t>70分以上</w:t>
            </w:r>
          </w:p>
        </w:tc>
      </w:tr>
    </w:tbl>
    <w:p w14:paraId="2B6A0303">
      <w:pPr>
        <w:spacing w:line="360" w:lineRule="auto"/>
        <w:ind w:left="210" w:leftChars="100" w:firstLine="480" w:firstLineChars="200"/>
        <w:jc w:val="left"/>
        <w:rPr>
          <w:rFonts w:ascii="Times New Roman" w:hAnsi="Times New Roman" w:eastAsia="宋体" w:cs="Times New Roman"/>
          <w:color w:val="000000"/>
          <w:sz w:val="24"/>
        </w:rPr>
      </w:pPr>
      <w:r>
        <w:rPr>
          <w:rFonts w:hint="eastAsia" w:ascii="Times New Roman" w:hAnsi="Times New Roman" w:eastAsia="宋体" w:cs="Times New Roman"/>
          <w:color w:val="000000"/>
          <w:sz w:val="24"/>
        </w:rPr>
        <w:t>第五条 学院各专业接收转入学生的人数，以该专业相同年级在读学生的10%为最高比例，并取整人数</w:t>
      </w:r>
      <w:r>
        <w:rPr>
          <w:rFonts w:hint="eastAsia" w:ascii="Times New Roman" w:hAnsi="Times New Roman" w:eastAsia="宋体" w:cs="Times New Roman"/>
          <w:color w:val="000000"/>
          <w:sz w:val="24"/>
          <w:lang w:eastAsia="zh-CN"/>
        </w:rPr>
        <w:t>（四舍五入）</w:t>
      </w:r>
      <w:r>
        <w:rPr>
          <w:rFonts w:hint="eastAsia" w:ascii="Times New Roman" w:hAnsi="Times New Roman" w:eastAsia="宋体" w:cs="Times New Roman"/>
          <w:color w:val="000000"/>
          <w:sz w:val="24"/>
        </w:rPr>
        <w:t>。</w:t>
      </w:r>
    </w:p>
    <w:p w14:paraId="1ACCCC4A">
      <w:pPr>
        <w:spacing w:line="360" w:lineRule="auto"/>
        <w:ind w:left="210" w:leftChars="100" w:firstLine="480" w:firstLineChars="200"/>
        <w:jc w:val="left"/>
        <w:rPr>
          <w:rFonts w:ascii="Times New Roman" w:hAnsi="Times New Roman" w:eastAsia="宋体" w:cs="Times New Roman"/>
          <w:color w:val="000000"/>
          <w:sz w:val="24"/>
        </w:rPr>
      </w:pPr>
      <w:r>
        <w:rPr>
          <w:rFonts w:hint="eastAsia" w:ascii="Times New Roman" w:hAnsi="Times New Roman" w:eastAsia="宋体" w:cs="Times New Roman"/>
          <w:color w:val="000000"/>
          <w:sz w:val="24"/>
        </w:rPr>
        <w:t>注：</w:t>
      </w:r>
      <w:r>
        <w:rPr>
          <w:rFonts w:ascii="Times New Roman" w:hAnsi="Times New Roman" w:eastAsia="宋体" w:cs="宋体"/>
          <w:sz w:val="24"/>
          <w:szCs w:val="24"/>
        </w:rPr>
        <w:t>退役后复学的学生申请转专业不计入录取总名额</w:t>
      </w:r>
      <w:r>
        <w:rPr>
          <w:rFonts w:hint="eastAsia" w:ascii="Times New Roman" w:hAnsi="Times New Roman" w:eastAsia="宋体" w:cs="宋体"/>
          <w:sz w:val="24"/>
          <w:szCs w:val="24"/>
        </w:rPr>
        <w:t>。</w:t>
      </w:r>
    </w:p>
    <w:p w14:paraId="210D0D72">
      <w:pPr>
        <w:spacing w:line="360" w:lineRule="auto"/>
        <w:ind w:left="420" w:leftChars="200"/>
        <w:jc w:val="left"/>
        <w:outlineLvl w:val="1"/>
        <w:rPr>
          <w:rFonts w:ascii="Times New Roman" w:hAnsi="Times New Roman" w:eastAsia="宋体" w:cs="Times New Roman"/>
          <w:b/>
          <w:bCs/>
          <w:color w:val="000000"/>
          <w:kern w:val="28"/>
          <w:sz w:val="30"/>
          <w:szCs w:val="32"/>
        </w:rPr>
      </w:pPr>
      <w:r>
        <w:rPr>
          <w:rFonts w:hint="eastAsia" w:ascii="Times New Roman" w:hAnsi="Times New Roman" w:eastAsia="宋体" w:cs="Times New Roman"/>
          <w:b/>
          <w:bCs/>
          <w:color w:val="000000"/>
          <w:kern w:val="28"/>
          <w:sz w:val="30"/>
          <w:szCs w:val="32"/>
        </w:rPr>
        <w:t>四、转专业考核实施办法</w:t>
      </w:r>
    </w:p>
    <w:p w14:paraId="3E1F51DF">
      <w:pPr>
        <w:spacing w:line="360" w:lineRule="auto"/>
        <w:ind w:firstLine="480" w:firstLineChars="200"/>
        <w:rPr>
          <w:rFonts w:ascii="Times New Roman" w:hAnsi="Times New Roman" w:eastAsia="宋体" w:cs="Times New Roman"/>
          <w:color w:val="000000"/>
          <w:sz w:val="24"/>
        </w:rPr>
      </w:pPr>
      <w:r>
        <w:rPr>
          <w:rFonts w:ascii="Times New Roman" w:hAnsi="Times New Roman" w:eastAsia="宋体" w:cs="Times New Roman"/>
          <w:color w:val="000000"/>
          <w:sz w:val="24"/>
        </w:rPr>
        <w:t>第</w:t>
      </w:r>
      <w:r>
        <w:rPr>
          <w:rFonts w:hint="eastAsia" w:ascii="Times New Roman" w:hAnsi="Times New Roman" w:eastAsia="宋体" w:cs="Times New Roman"/>
          <w:color w:val="000000"/>
          <w:sz w:val="24"/>
        </w:rPr>
        <w:t>六</w:t>
      </w:r>
      <w:r>
        <w:rPr>
          <w:rFonts w:ascii="Times New Roman" w:hAnsi="Times New Roman" w:eastAsia="宋体" w:cs="Times New Roman"/>
          <w:color w:val="000000"/>
          <w:sz w:val="24"/>
        </w:rPr>
        <w:t>条</w:t>
      </w:r>
      <w:r>
        <w:rPr>
          <w:rFonts w:hint="eastAsia" w:ascii="Times New Roman" w:hAnsi="Times New Roman" w:eastAsia="宋体" w:cs="Times New Roman"/>
          <w:color w:val="000000"/>
          <w:sz w:val="24"/>
        </w:rPr>
        <w:t xml:space="preserve"> 考核办法</w:t>
      </w:r>
    </w:p>
    <w:p w14:paraId="3C4E0680">
      <w:pPr>
        <w:spacing w:line="360" w:lineRule="auto"/>
        <w:ind w:firstLine="480" w:firstLineChars="200"/>
        <w:rPr>
          <w:rFonts w:ascii="Times New Roman" w:hAnsi="Times New Roman" w:eastAsia="宋体" w:cs="Times New Roman"/>
          <w:color w:val="000000"/>
          <w:sz w:val="24"/>
        </w:rPr>
      </w:pPr>
      <w:r>
        <w:rPr>
          <w:rFonts w:hint="eastAsia" w:ascii="Times New Roman" w:hAnsi="Times New Roman" w:eastAsia="宋体" w:cs="Times New Roman"/>
          <w:color w:val="000000"/>
          <w:sz w:val="24"/>
        </w:rPr>
        <w:t>计算第一学年/前两学年全部必修课总成绩专业排名、专业准入课程成绩、英语四级成绩、专家组面试成绩综合评价。</w:t>
      </w:r>
    </w:p>
    <w:p w14:paraId="20C6C8D6">
      <w:pPr>
        <w:spacing w:line="360" w:lineRule="auto"/>
        <w:ind w:firstLine="480" w:firstLineChars="200"/>
        <w:rPr>
          <w:rFonts w:ascii="Times New Roman" w:hAnsi="Times New Roman" w:eastAsia="宋体" w:cs="Times New Roman"/>
          <w:color w:val="000000"/>
          <w:sz w:val="24"/>
        </w:rPr>
      </w:pPr>
      <w:r>
        <w:rPr>
          <w:rFonts w:hint="eastAsia" w:ascii="Times New Roman" w:hAnsi="Times New Roman" w:eastAsia="宋体" w:cs="Times New Roman"/>
          <w:color w:val="000000"/>
          <w:sz w:val="24"/>
        </w:rPr>
        <w:t>第七条 下列情况</w:t>
      </w:r>
      <w:r>
        <w:rPr>
          <w:rFonts w:hint="eastAsia" w:ascii="Times New Roman" w:hAnsi="Times New Roman" w:eastAsia="宋体" w:cs="Times New Roman"/>
          <w:color w:val="000000"/>
          <w:sz w:val="24"/>
          <w:lang w:eastAsia="zh-CN"/>
        </w:rPr>
        <w:t>，不接受转专业申请</w:t>
      </w:r>
    </w:p>
    <w:p w14:paraId="49E0AF80">
      <w:pPr>
        <w:spacing w:line="360" w:lineRule="auto"/>
        <w:ind w:firstLine="480" w:firstLineChars="200"/>
        <w:rPr>
          <w:rFonts w:ascii="Times New Roman" w:hAnsi="Times New Roman" w:eastAsia="宋体" w:cs="Times New Roman"/>
          <w:color w:val="000000"/>
          <w:sz w:val="24"/>
        </w:rPr>
      </w:pPr>
      <w:r>
        <w:rPr>
          <w:rFonts w:hint="eastAsia" w:ascii="Times New Roman" w:hAnsi="Times New Roman" w:eastAsia="宋体" w:cs="Times New Roman"/>
          <w:color w:val="000000"/>
          <w:sz w:val="24"/>
        </w:rPr>
        <w:t>思想品德考核不合格</w:t>
      </w:r>
      <w:r>
        <w:rPr>
          <w:rFonts w:hint="eastAsia" w:ascii="Times New Roman" w:hAnsi="Times New Roman" w:eastAsia="宋体" w:cs="Times New Roman"/>
          <w:color w:val="000000"/>
          <w:sz w:val="24"/>
          <w:lang w:eastAsia="zh-CN"/>
        </w:rPr>
        <w:t>、有违规违纪记录</w:t>
      </w:r>
      <w:r>
        <w:rPr>
          <w:rFonts w:hint="eastAsia" w:ascii="Times New Roman" w:hAnsi="Times New Roman" w:eastAsia="宋体" w:cs="Times New Roman"/>
          <w:color w:val="000000"/>
          <w:sz w:val="24"/>
        </w:rPr>
        <w:t>或有课程不及格。</w:t>
      </w:r>
    </w:p>
    <w:p w14:paraId="1C21834C">
      <w:pPr>
        <w:spacing w:line="360" w:lineRule="auto"/>
        <w:ind w:left="420" w:leftChars="200"/>
        <w:jc w:val="left"/>
        <w:outlineLvl w:val="1"/>
        <w:rPr>
          <w:rFonts w:ascii="Times New Roman" w:hAnsi="Times New Roman" w:eastAsia="宋体" w:cs="Times New Roman"/>
          <w:b/>
          <w:bCs/>
          <w:color w:val="000000"/>
          <w:kern w:val="28"/>
          <w:sz w:val="30"/>
          <w:szCs w:val="32"/>
        </w:rPr>
      </w:pPr>
      <w:r>
        <w:rPr>
          <w:rFonts w:hint="eastAsia" w:ascii="Times New Roman" w:hAnsi="Times New Roman" w:eastAsia="宋体" w:cs="Times New Roman"/>
          <w:b/>
          <w:bCs/>
          <w:color w:val="000000"/>
          <w:kern w:val="28"/>
          <w:sz w:val="30"/>
          <w:szCs w:val="32"/>
        </w:rPr>
        <w:t>五、转专业流程</w:t>
      </w:r>
    </w:p>
    <w:p w14:paraId="53B38BE9">
      <w:pPr>
        <w:spacing w:line="360" w:lineRule="auto"/>
        <w:ind w:firstLine="480" w:firstLineChars="200"/>
        <w:rPr>
          <w:rFonts w:ascii="Times New Roman" w:hAnsi="Times New Roman" w:eastAsia="宋体" w:cs="Times New Roman"/>
          <w:color w:val="000000"/>
          <w:sz w:val="24"/>
        </w:rPr>
      </w:pPr>
      <w:r>
        <w:rPr>
          <w:rFonts w:ascii="Times New Roman" w:hAnsi="Times New Roman" w:eastAsia="宋体" w:cs="Times New Roman"/>
          <w:color w:val="000000"/>
          <w:sz w:val="24"/>
        </w:rPr>
        <w:t>第</w:t>
      </w:r>
      <w:r>
        <w:rPr>
          <w:rFonts w:hint="eastAsia" w:ascii="Times New Roman" w:hAnsi="Times New Roman" w:eastAsia="宋体" w:cs="Times New Roman"/>
          <w:color w:val="000000"/>
          <w:sz w:val="24"/>
        </w:rPr>
        <w:t>八</w:t>
      </w:r>
      <w:r>
        <w:rPr>
          <w:rFonts w:ascii="Times New Roman" w:hAnsi="Times New Roman" w:eastAsia="宋体" w:cs="Times New Roman"/>
          <w:color w:val="000000"/>
          <w:sz w:val="24"/>
        </w:rPr>
        <w:t>条</w:t>
      </w:r>
      <w:r>
        <w:rPr>
          <w:rFonts w:hint="eastAsia" w:ascii="Times New Roman" w:hAnsi="Times New Roman" w:eastAsia="宋体" w:cs="Times New Roman"/>
          <w:color w:val="000000"/>
          <w:sz w:val="24"/>
        </w:rPr>
        <w:t xml:space="preserve"> 转出学生按照《</w:t>
      </w:r>
      <w:r>
        <w:rPr>
          <w:rFonts w:hint="eastAsia" w:ascii="Times New Roman" w:hAnsi="Times New Roman" w:eastAsia="宋体" w:cs="Times New Roman"/>
          <w:bCs/>
          <w:color w:val="000000"/>
          <w:sz w:val="24"/>
          <w:szCs w:val="24"/>
        </w:rPr>
        <w:t>西南交通大学本科生转专业管理办法</w:t>
      </w:r>
      <w:r>
        <w:rPr>
          <w:rFonts w:hint="eastAsia" w:ascii="Times New Roman" w:hAnsi="Times New Roman" w:eastAsia="宋体" w:cs="Times New Roman"/>
          <w:color w:val="000000"/>
          <w:sz w:val="24"/>
        </w:rPr>
        <w:t>》</w:t>
      </w:r>
      <w:r>
        <w:rPr>
          <w:rFonts w:hint="eastAsia" w:ascii="Times New Roman" w:hAnsi="Times New Roman" w:eastAsia="宋体" w:cs="Times New Roman"/>
          <w:bCs/>
          <w:color w:val="000000"/>
          <w:sz w:val="24"/>
          <w:szCs w:val="24"/>
        </w:rPr>
        <w:t>（西交校教 [2019] 126号）</w:t>
      </w:r>
      <w:r>
        <w:rPr>
          <w:rFonts w:hint="eastAsia" w:ascii="Times New Roman" w:hAnsi="Times New Roman" w:eastAsia="宋体" w:cs="Times New Roman"/>
          <w:color w:val="000000"/>
          <w:sz w:val="24"/>
        </w:rPr>
        <w:t>规定流程执行；转入本学院学生，按照学校规定流程提出申请，学院由转专业领导小组组织开展工作，分专业进行考核，提出拟同意转入学生名单与排序，最后经学院转专业领导小组讨论决定接收转专业（转入）学生名单，并在学院网站公示，公示期满，上报学校。</w:t>
      </w:r>
    </w:p>
    <w:p w14:paraId="03AB225D">
      <w:pPr>
        <w:spacing w:line="360" w:lineRule="auto"/>
        <w:ind w:left="420" w:leftChars="200"/>
        <w:jc w:val="left"/>
        <w:outlineLvl w:val="1"/>
        <w:rPr>
          <w:rFonts w:ascii="Times New Roman" w:hAnsi="Times New Roman" w:eastAsia="宋体" w:cs="Times New Roman"/>
          <w:b/>
          <w:bCs/>
          <w:color w:val="000000"/>
          <w:kern w:val="28"/>
          <w:sz w:val="30"/>
          <w:szCs w:val="32"/>
        </w:rPr>
      </w:pPr>
      <w:r>
        <w:rPr>
          <w:rFonts w:hint="eastAsia" w:ascii="Times New Roman" w:hAnsi="Times New Roman" w:eastAsia="宋体" w:cs="Times New Roman"/>
          <w:b/>
          <w:bCs/>
          <w:color w:val="000000"/>
          <w:kern w:val="28"/>
          <w:sz w:val="30"/>
          <w:szCs w:val="32"/>
        </w:rPr>
        <w:t>六、其他</w:t>
      </w:r>
    </w:p>
    <w:p w14:paraId="48031313">
      <w:pPr>
        <w:spacing w:line="360" w:lineRule="auto"/>
        <w:ind w:firstLine="480" w:firstLineChars="200"/>
        <w:rPr>
          <w:rFonts w:ascii="Times New Roman" w:hAnsi="Times New Roman" w:eastAsia="宋体" w:cs="Times New Roman"/>
          <w:sz w:val="24"/>
        </w:rPr>
      </w:pPr>
      <w:r>
        <w:rPr>
          <w:rFonts w:hint="eastAsia" w:ascii="Times New Roman" w:hAnsi="Times New Roman" w:eastAsia="宋体" w:cs="Times New Roman"/>
          <w:color w:val="000000"/>
          <w:sz w:val="24"/>
        </w:rPr>
        <w:t xml:space="preserve">第九条 </w:t>
      </w:r>
      <w:r>
        <w:rPr>
          <w:rFonts w:hint="eastAsia" w:ascii="Times New Roman" w:hAnsi="Times New Roman" w:eastAsia="宋体" w:cs="Times New Roman"/>
          <w:sz w:val="24"/>
        </w:rPr>
        <w:t>材料科学与工程专业卓越班学生的增补按照学校相关规定执行。</w:t>
      </w:r>
    </w:p>
    <w:p w14:paraId="5567142F">
      <w:pPr>
        <w:spacing w:line="360" w:lineRule="auto"/>
        <w:ind w:firstLine="480" w:firstLineChars="200"/>
        <w:rPr>
          <w:rFonts w:ascii="Times New Roman" w:hAnsi="Times New Roman" w:eastAsia="宋体" w:cs="Times New Roman"/>
          <w:color w:val="000000"/>
          <w:sz w:val="24"/>
        </w:rPr>
      </w:pPr>
      <w:r>
        <w:rPr>
          <w:rFonts w:hint="eastAsia" w:ascii="Times New Roman" w:hAnsi="Times New Roman" w:eastAsia="宋体" w:cs="Times New Roman"/>
          <w:color w:val="000000"/>
          <w:sz w:val="24"/>
        </w:rPr>
        <w:t>第十条 转入学生按照转入专业的培养计划执行，学习成绩认定与课程替代按照《</w:t>
      </w:r>
      <w:r>
        <w:rPr>
          <w:rFonts w:hint="eastAsia" w:ascii="Times New Roman" w:hAnsi="Times New Roman" w:eastAsia="宋体" w:cs="Times New Roman"/>
          <w:bCs/>
          <w:color w:val="000000"/>
          <w:sz w:val="24"/>
          <w:szCs w:val="24"/>
        </w:rPr>
        <w:t>西南交通大学本科生转专业管理办法</w:t>
      </w:r>
      <w:r>
        <w:rPr>
          <w:rFonts w:hint="eastAsia" w:ascii="Times New Roman" w:hAnsi="Times New Roman" w:eastAsia="宋体" w:cs="Times New Roman"/>
          <w:color w:val="000000"/>
          <w:sz w:val="24"/>
        </w:rPr>
        <w:t>》</w:t>
      </w:r>
      <w:r>
        <w:rPr>
          <w:rFonts w:hint="eastAsia" w:ascii="Times New Roman" w:hAnsi="Times New Roman" w:eastAsia="宋体" w:cs="Times New Roman"/>
          <w:bCs/>
          <w:color w:val="000000"/>
          <w:sz w:val="24"/>
          <w:szCs w:val="24"/>
        </w:rPr>
        <w:t>（西交校教 [2019] 126号）</w:t>
      </w:r>
      <w:r>
        <w:rPr>
          <w:rFonts w:hint="eastAsia" w:ascii="Times New Roman" w:hAnsi="Times New Roman" w:eastAsia="宋体" w:cs="Times New Roman"/>
          <w:color w:val="000000"/>
          <w:sz w:val="24"/>
        </w:rPr>
        <w:t>执行。</w:t>
      </w:r>
    </w:p>
    <w:p w14:paraId="795A09AE">
      <w:pPr>
        <w:spacing w:line="360" w:lineRule="auto"/>
        <w:ind w:firstLine="480" w:firstLineChars="200"/>
        <w:rPr>
          <w:rFonts w:ascii="Times New Roman" w:hAnsi="Times New Roman" w:eastAsia="宋体" w:cs="Times New Roman"/>
          <w:color w:val="000000"/>
          <w:sz w:val="24"/>
        </w:rPr>
      </w:pPr>
      <w:r>
        <w:rPr>
          <w:rFonts w:hint="eastAsia" w:ascii="Times New Roman" w:hAnsi="Times New Roman" w:eastAsia="宋体" w:cs="Times New Roman"/>
          <w:color w:val="000000"/>
          <w:sz w:val="24"/>
        </w:rPr>
        <w:t>第十一条 转专业工作咨询，每周一至周五犀浦X2124办公室（电话：66362622）。</w:t>
      </w:r>
    </w:p>
    <w:p w14:paraId="351A610E">
      <w:pPr>
        <w:spacing w:line="360" w:lineRule="auto"/>
        <w:ind w:firstLine="480" w:firstLineChars="200"/>
        <w:rPr>
          <w:rFonts w:ascii="Times New Roman" w:hAnsi="Times New Roman" w:eastAsia="宋体" w:cs="Times New Roman"/>
          <w:color w:val="000000"/>
          <w:sz w:val="24"/>
        </w:rPr>
      </w:pPr>
      <w:r>
        <w:rPr>
          <w:rFonts w:hint="eastAsia" w:ascii="Times New Roman" w:hAnsi="Times New Roman" w:eastAsia="宋体" w:cs="Times New Roman"/>
          <w:color w:val="000000"/>
          <w:sz w:val="24"/>
        </w:rPr>
        <w:t>第十二条 转专业工作接受全校学生和老师的监督，对于转专业过程中存在的问题，可以直接向学院转专业领导小组反映，也可以直接向学校或学院纪检部门反映。</w:t>
      </w:r>
    </w:p>
    <w:p w14:paraId="5616EDEC">
      <w:pPr>
        <w:spacing w:line="360" w:lineRule="auto"/>
        <w:ind w:firstLine="480" w:firstLineChars="200"/>
        <w:jc w:val="right"/>
        <w:rPr>
          <w:rFonts w:ascii="Times New Roman" w:hAnsi="Times New Roman" w:eastAsia="宋体" w:cs="Times New Roman"/>
          <w:color w:val="000000"/>
          <w:sz w:val="24"/>
        </w:rPr>
      </w:pPr>
    </w:p>
    <w:p w14:paraId="418B8670">
      <w:pPr>
        <w:spacing w:line="360" w:lineRule="auto"/>
        <w:ind w:firstLine="4800" w:firstLineChars="2000"/>
        <w:rPr>
          <w:rFonts w:ascii="Times New Roman" w:hAnsi="Times New Roman" w:eastAsia="宋体" w:cs="Times New Roman"/>
          <w:color w:val="000000"/>
          <w:sz w:val="24"/>
        </w:rPr>
      </w:pPr>
      <w:r>
        <w:rPr>
          <w:rFonts w:hint="eastAsia" w:ascii="Times New Roman" w:hAnsi="Times New Roman" w:eastAsia="宋体" w:cs="Times New Roman"/>
          <w:color w:val="000000"/>
          <w:sz w:val="24"/>
        </w:rPr>
        <w:t>材料科学与工程学院</w:t>
      </w:r>
    </w:p>
    <w:p w14:paraId="6FFE9906">
      <w:pPr>
        <w:spacing w:line="360" w:lineRule="auto"/>
        <w:rPr>
          <w:rFonts w:ascii="Times New Roman" w:hAnsi="Times New Roman"/>
        </w:rPr>
      </w:pPr>
      <w:r>
        <w:rPr>
          <w:rFonts w:hint="eastAsia" w:ascii="Times New Roman" w:hAnsi="Times New Roman" w:eastAsia="宋体" w:cs="Times New Roman"/>
          <w:color w:val="000000"/>
          <w:sz w:val="24"/>
        </w:rPr>
        <w:t xml:space="preserve">                                   </w:t>
      </w:r>
      <w:r>
        <w:rPr>
          <w:rFonts w:ascii="Times New Roman" w:hAnsi="Times New Roman" w:eastAsia="宋体" w:cs="Times New Roman"/>
          <w:color w:val="000000"/>
          <w:sz w:val="24"/>
        </w:rPr>
        <w:t xml:space="preserve">     </w:t>
      </w:r>
      <w:r>
        <w:rPr>
          <w:rFonts w:hint="eastAsia" w:ascii="Times New Roman" w:hAnsi="Times New Roman" w:eastAsia="宋体" w:cs="Times New Roman"/>
          <w:color w:val="000000"/>
          <w:sz w:val="24"/>
        </w:rPr>
        <w:t xml:space="preserve">  202</w:t>
      </w:r>
      <w:r>
        <w:rPr>
          <w:rFonts w:ascii="Times New Roman" w:hAnsi="Times New Roman" w:eastAsia="宋体" w:cs="Times New Roman"/>
          <w:color w:val="000000"/>
          <w:sz w:val="24"/>
        </w:rPr>
        <w:t>5</w:t>
      </w:r>
      <w:r>
        <w:rPr>
          <w:rFonts w:hint="eastAsia" w:ascii="Times New Roman" w:hAnsi="Times New Roman" w:eastAsia="宋体" w:cs="Times New Roman"/>
          <w:color w:val="000000"/>
          <w:sz w:val="24"/>
        </w:rPr>
        <w:t>年</w:t>
      </w:r>
      <w:r>
        <w:rPr>
          <w:rFonts w:hint="eastAsia" w:ascii="Times New Roman" w:hAnsi="Times New Roman" w:eastAsia="宋体" w:cs="Times New Roman"/>
          <w:color w:val="000000"/>
          <w:sz w:val="24"/>
          <w:lang w:val="en-US" w:eastAsia="zh-CN"/>
        </w:rPr>
        <w:t>11</w:t>
      </w:r>
      <w:r>
        <w:rPr>
          <w:rFonts w:hint="eastAsia" w:ascii="Times New Roman" w:hAnsi="Times New Roman" w:eastAsia="宋体" w:cs="Times New Roman"/>
          <w:color w:val="000000"/>
          <w:sz w:val="24"/>
        </w:rPr>
        <w:t>月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55BF46D7"/>
    <w:multiLevelType w:val="multilevel"/>
    <w:tmpl w:val="55BF46D7"/>
    <w:lvl w:ilvl="0" w:tentative="0">
      <w:start w:val="1"/>
      <w:numFmt w:val="chineseCountingThousand"/>
      <w:pStyle w:val="4"/>
      <w:lvlText w:val="%1、"/>
      <w:lvlJc w:val="left"/>
      <w:pPr>
        <w:ind w:left="420" w:hanging="420"/>
      </w:pPr>
      <w:rPr>
        <w:rFonts w:cs="Times New Roman"/>
        <w:b/>
        <w:bCs w:val="0"/>
        <w:i w:val="0"/>
        <w:iCs w:val="0"/>
        <w:caps w:val="0"/>
        <w:smallCaps w:val="0"/>
        <w:strike w:val="0"/>
        <w:dstrike w:val="0"/>
        <w:vanish w:val="0"/>
        <w:spacing w:val="0"/>
        <w:position w:val="0"/>
        <w:u w:val="none"/>
        <w:vertAlign w:val="baseline"/>
      </w:rPr>
    </w:lvl>
    <w:lvl w:ilvl="1" w:tentative="0">
      <w:start w:val="1"/>
      <w:numFmt w:val="lowerLetter"/>
      <w:lvlText w:val="%2)"/>
      <w:lvlJc w:val="left"/>
      <w:pPr>
        <w:ind w:left="840" w:hanging="420"/>
      </w:pPr>
    </w:lvl>
    <w:lvl w:ilvl="2" w:tentative="0">
      <w:start w:val="1"/>
      <w:numFmt w:val="lowerRoman"/>
      <w:lvlText w:val="%3."/>
      <w:lvlJc w:val="right"/>
      <w:pPr>
        <w:ind w:left="1260" w:hanging="420"/>
      </w:pPr>
    </w:lvl>
    <w:lvl w:ilvl="3" w:tentative="0">
      <w:start w:val="1"/>
      <w:numFmt w:val="decimal"/>
      <w:lvlText w:val="%4."/>
      <w:lvlJc w:val="left"/>
      <w:pPr>
        <w:ind w:left="1680" w:hanging="420"/>
      </w:pPr>
    </w:lvl>
    <w:lvl w:ilvl="4" w:tentative="0">
      <w:start w:val="1"/>
      <w:numFmt w:val="lowerLetter"/>
      <w:lvlText w:val="%5)"/>
      <w:lvlJc w:val="left"/>
      <w:pPr>
        <w:ind w:left="2100" w:hanging="420"/>
      </w:pPr>
    </w:lvl>
    <w:lvl w:ilvl="5" w:tentative="0">
      <w:start w:val="1"/>
      <w:numFmt w:val="lowerRoman"/>
      <w:lvlText w:val="%6."/>
      <w:lvlJc w:val="right"/>
      <w:pPr>
        <w:ind w:left="2520" w:hanging="420"/>
      </w:pPr>
    </w:lvl>
    <w:lvl w:ilvl="6" w:tentative="0">
      <w:start w:val="1"/>
      <w:numFmt w:val="decimal"/>
      <w:lvlText w:val="%7."/>
      <w:lvlJc w:val="left"/>
      <w:pPr>
        <w:ind w:left="2940" w:hanging="420"/>
      </w:pPr>
    </w:lvl>
    <w:lvl w:ilvl="7" w:tentative="0">
      <w:start w:val="1"/>
      <w:numFmt w:val="lowerLetter"/>
      <w:lvlText w:val="%8)"/>
      <w:lvlJc w:val="left"/>
      <w:pPr>
        <w:ind w:left="3360" w:hanging="420"/>
      </w:pPr>
    </w:lvl>
    <w:lvl w:ilvl="8" w:tentative="0">
      <w:start w:val="1"/>
      <w:numFmt w:val="lowerRoman"/>
      <w:lvlText w:val="%9."/>
      <w:lvlJc w:val="right"/>
      <w:pPr>
        <w:ind w:left="3780" w:hanging="420"/>
      </w:pPr>
    </w:lvl>
  </w:abstractNum>
  <w:abstractNum w:abstractNumId="1">
    <w:nsid w:val="7C702C5C"/>
    <w:multiLevelType w:val="multilevel"/>
    <w:tmpl w:val="7C702C5C"/>
    <w:lvl w:ilvl="0" w:tentative="0">
      <w:start w:val="1"/>
      <w:numFmt w:val="japaneseCounting"/>
      <w:lvlText w:val="%1、"/>
      <w:lvlJc w:val="left"/>
      <w:pPr>
        <w:ind w:left="871" w:hanging="720"/>
      </w:pPr>
      <w:rPr>
        <w:rFonts w:hint="default"/>
      </w:rPr>
    </w:lvl>
    <w:lvl w:ilvl="1" w:tentative="0">
      <w:start w:val="1"/>
      <w:numFmt w:val="lowerLetter"/>
      <w:lvlText w:val="%2)"/>
      <w:lvlJc w:val="left"/>
      <w:pPr>
        <w:ind w:left="991" w:hanging="420"/>
      </w:pPr>
    </w:lvl>
    <w:lvl w:ilvl="2" w:tentative="0">
      <w:start w:val="1"/>
      <w:numFmt w:val="lowerRoman"/>
      <w:lvlText w:val="%3."/>
      <w:lvlJc w:val="right"/>
      <w:pPr>
        <w:ind w:left="1411" w:hanging="420"/>
      </w:pPr>
    </w:lvl>
    <w:lvl w:ilvl="3" w:tentative="0">
      <w:start w:val="1"/>
      <w:numFmt w:val="decimal"/>
      <w:lvlText w:val="%4."/>
      <w:lvlJc w:val="left"/>
      <w:pPr>
        <w:ind w:left="1831" w:hanging="420"/>
      </w:pPr>
    </w:lvl>
    <w:lvl w:ilvl="4" w:tentative="0">
      <w:start w:val="1"/>
      <w:numFmt w:val="lowerLetter"/>
      <w:lvlText w:val="%5)"/>
      <w:lvlJc w:val="left"/>
      <w:pPr>
        <w:ind w:left="2251" w:hanging="420"/>
      </w:pPr>
    </w:lvl>
    <w:lvl w:ilvl="5" w:tentative="0">
      <w:start w:val="1"/>
      <w:numFmt w:val="lowerRoman"/>
      <w:lvlText w:val="%6."/>
      <w:lvlJc w:val="right"/>
      <w:pPr>
        <w:ind w:left="2671" w:hanging="420"/>
      </w:pPr>
    </w:lvl>
    <w:lvl w:ilvl="6" w:tentative="0">
      <w:start w:val="1"/>
      <w:numFmt w:val="decimal"/>
      <w:lvlText w:val="%7."/>
      <w:lvlJc w:val="left"/>
      <w:pPr>
        <w:ind w:left="3091" w:hanging="420"/>
      </w:pPr>
    </w:lvl>
    <w:lvl w:ilvl="7" w:tentative="0">
      <w:start w:val="1"/>
      <w:numFmt w:val="lowerLetter"/>
      <w:lvlText w:val="%8)"/>
      <w:lvlJc w:val="left"/>
      <w:pPr>
        <w:ind w:left="3511" w:hanging="420"/>
      </w:pPr>
    </w:lvl>
    <w:lvl w:ilvl="8" w:tentative="0">
      <w:start w:val="1"/>
      <w:numFmt w:val="lowerRoman"/>
      <w:lvlText w:val="%9."/>
      <w:lvlJc w:val="right"/>
      <w:pPr>
        <w:ind w:left="3931" w:hanging="42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70"/>
  <w:bordersDoNotSurroundHeader w:val="1"/>
  <w:bordersDoNotSurroundFooter w:val="1"/>
  <w:documentProtection w:enforcement="0"/>
  <w:defaultTabStop w:val="420"/>
  <w:drawingGridVerticalSpacing w:val="156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NmM5YWVjZTgxNDhjOWUwZGJiZjgyYTJjYmVkMmM0ZmMifQ=="/>
  </w:docVars>
  <w:rsids>
    <w:rsidRoot w:val="00C1287A"/>
    <w:rsid w:val="00125D23"/>
    <w:rsid w:val="001A162E"/>
    <w:rsid w:val="00267B85"/>
    <w:rsid w:val="00290C97"/>
    <w:rsid w:val="002E3CD3"/>
    <w:rsid w:val="002E7FE9"/>
    <w:rsid w:val="00345E4B"/>
    <w:rsid w:val="00457DE5"/>
    <w:rsid w:val="00522730"/>
    <w:rsid w:val="00633759"/>
    <w:rsid w:val="00694F14"/>
    <w:rsid w:val="007419EE"/>
    <w:rsid w:val="00777AB2"/>
    <w:rsid w:val="007E3ABA"/>
    <w:rsid w:val="00851E41"/>
    <w:rsid w:val="00871E18"/>
    <w:rsid w:val="008E7B76"/>
    <w:rsid w:val="009057BA"/>
    <w:rsid w:val="009E6863"/>
    <w:rsid w:val="00C1287A"/>
    <w:rsid w:val="00C87780"/>
    <w:rsid w:val="00D660FC"/>
    <w:rsid w:val="00D749A9"/>
    <w:rsid w:val="00DE1EE4"/>
    <w:rsid w:val="00E05ED3"/>
    <w:rsid w:val="00EB5E35"/>
    <w:rsid w:val="01270744"/>
    <w:rsid w:val="016D6AC7"/>
    <w:rsid w:val="01EC20E2"/>
    <w:rsid w:val="020C008E"/>
    <w:rsid w:val="036240BD"/>
    <w:rsid w:val="03871910"/>
    <w:rsid w:val="043F474B"/>
    <w:rsid w:val="045F714F"/>
    <w:rsid w:val="05047743"/>
    <w:rsid w:val="05730C69"/>
    <w:rsid w:val="059F47CA"/>
    <w:rsid w:val="06255BC2"/>
    <w:rsid w:val="07232173"/>
    <w:rsid w:val="073E518E"/>
    <w:rsid w:val="07A656A9"/>
    <w:rsid w:val="097163D3"/>
    <w:rsid w:val="097473B0"/>
    <w:rsid w:val="0A20719A"/>
    <w:rsid w:val="0AE97A53"/>
    <w:rsid w:val="0B9D61FB"/>
    <w:rsid w:val="0C547201"/>
    <w:rsid w:val="0C60610B"/>
    <w:rsid w:val="0CB21B0A"/>
    <w:rsid w:val="0CDF4D1D"/>
    <w:rsid w:val="0F0E3698"/>
    <w:rsid w:val="10945E1E"/>
    <w:rsid w:val="10F7015B"/>
    <w:rsid w:val="11E15093"/>
    <w:rsid w:val="12A85BB1"/>
    <w:rsid w:val="12E81493"/>
    <w:rsid w:val="138C7166"/>
    <w:rsid w:val="14DA401C"/>
    <w:rsid w:val="159D7523"/>
    <w:rsid w:val="15B7532F"/>
    <w:rsid w:val="160E4012"/>
    <w:rsid w:val="16A677CD"/>
    <w:rsid w:val="17150D9A"/>
    <w:rsid w:val="172872C1"/>
    <w:rsid w:val="17D55FD6"/>
    <w:rsid w:val="1AF35E37"/>
    <w:rsid w:val="1B261D69"/>
    <w:rsid w:val="1B4471E0"/>
    <w:rsid w:val="1BB5360F"/>
    <w:rsid w:val="1E831280"/>
    <w:rsid w:val="1F72566F"/>
    <w:rsid w:val="20FC4CEF"/>
    <w:rsid w:val="2241392C"/>
    <w:rsid w:val="224527D2"/>
    <w:rsid w:val="231E77CA"/>
    <w:rsid w:val="23931F66"/>
    <w:rsid w:val="23D94B50"/>
    <w:rsid w:val="23DD482A"/>
    <w:rsid w:val="24154657"/>
    <w:rsid w:val="2425593B"/>
    <w:rsid w:val="243E0123"/>
    <w:rsid w:val="24F82CA8"/>
    <w:rsid w:val="250A09A2"/>
    <w:rsid w:val="258214C1"/>
    <w:rsid w:val="26476E2D"/>
    <w:rsid w:val="27112F71"/>
    <w:rsid w:val="27795C79"/>
    <w:rsid w:val="27FA7FAD"/>
    <w:rsid w:val="28842EFE"/>
    <w:rsid w:val="290433C9"/>
    <w:rsid w:val="2A4C088E"/>
    <w:rsid w:val="2B4C1378"/>
    <w:rsid w:val="2C9D41D6"/>
    <w:rsid w:val="2D8754C2"/>
    <w:rsid w:val="2E385BE3"/>
    <w:rsid w:val="2EF05696"/>
    <w:rsid w:val="2F041F69"/>
    <w:rsid w:val="2FF65D56"/>
    <w:rsid w:val="312C2E7E"/>
    <w:rsid w:val="323808A8"/>
    <w:rsid w:val="32FA03B1"/>
    <w:rsid w:val="34AD285D"/>
    <w:rsid w:val="35434F2C"/>
    <w:rsid w:val="356E638F"/>
    <w:rsid w:val="363E0457"/>
    <w:rsid w:val="374049B2"/>
    <w:rsid w:val="3825542A"/>
    <w:rsid w:val="393A4BAF"/>
    <w:rsid w:val="394622D0"/>
    <w:rsid w:val="396B3311"/>
    <w:rsid w:val="396E2E01"/>
    <w:rsid w:val="3A554DA0"/>
    <w:rsid w:val="3C2D6FA3"/>
    <w:rsid w:val="3C6F6314"/>
    <w:rsid w:val="3CB35907"/>
    <w:rsid w:val="3E0A1CC0"/>
    <w:rsid w:val="3E0F1D5A"/>
    <w:rsid w:val="3EEC7BFC"/>
    <w:rsid w:val="3F6F342F"/>
    <w:rsid w:val="407F0973"/>
    <w:rsid w:val="42010CB6"/>
    <w:rsid w:val="42B8548C"/>
    <w:rsid w:val="43895813"/>
    <w:rsid w:val="43C755E8"/>
    <w:rsid w:val="479B1CC2"/>
    <w:rsid w:val="47CA2DF5"/>
    <w:rsid w:val="4859397D"/>
    <w:rsid w:val="489B34E7"/>
    <w:rsid w:val="49290AF3"/>
    <w:rsid w:val="496D4E83"/>
    <w:rsid w:val="49DE368B"/>
    <w:rsid w:val="4BDB2821"/>
    <w:rsid w:val="4D733914"/>
    <w:rsid w:val="4DD3727F"/>
    <w:rsid w:val="4DE1199C"/>
    <w:rsid w:val="4E5054FE"/>
    <w:rsid w:val="4E581D52"/>
    <w:rsid w:val="4E970E56"/>
    <w:rsid w:val="50212524"/>
    <w:rsid w:val="58003366"/>
    <w:rsid w:val="58020E8D"/>
    <w:rsid w:val="58AE691E"/>
    <w:rsid w:val="59B7236C"/>
    <w:rsid w:val="5A9401F8"/>
    <w:rsid w:val="5B10566E"/>
    <w:rsid w:val="5C182A2D"/>
    <w:rsid w:val="5C7D31D8"/>
    <w:rsid w:val="5CD967A4"/>
    <w:rsid w:val="5D6D410D"/>
    <w:rsid w:val="5DAA7FFC"/>
    <w:rsid w:val="5E620495"/>
    <w:rsid w:val="5E9860A7"/>
    <w:rsid w:val="5E995501"/>
    <w:rsid w:val="5F555D46"/>
    <w:rsid w:val="5F5C70D4"/>
    <w:rsid w:val="5F7D6944"/>
    <w:rsid w:val="609B3C2C"/>
    <w:rsid w:val="60C7588A"/>
    <w:rsid w:val="622F2DBA"/>
    <w:rsid w:val="62CD6953"/>
    <w:rsid w:val="63290D39"/>
    <w:rsid w:val="64762C96"/>
    <w:rsid w:val="647C2DC8"/>
    <w:rsid w:val="651B533C"/>
    <w:rsid w:val="666845B1"/>
    <w:rsid w:val="66C45C60"/>
    <w:rsid w:val="66F1440E"/>
    <w:rsid w:val="6747449B"/>
    <w:rsid w:val="67A14120"/>
    <w:rsid w:val="67A9531D"/>
    <w:rsid w:val="67B370F3"/>
    <w:rsid w:val="68295E8F"/>
    <w:rsid w:val="68466B73"/>
    <w:rsid w:val="688B563F"/>
    <w:rsid w:val="68A61BE9"/>
    <w:rsid w:val="6B8A6D77"/>
    <w:rsid w:val="6CF16728"/>
    <w:rsid w:val="6D2A25C0"/>
    <w:rsid w:val="6F8D114A"/>
    <w:rsid w:val="721E1865"/>
    <w:rsid w:val="724F3294"/>
    <w:rsid w:val="73C372CA"/>
    <w:rsid w:val="74DD43BC"/>
    <w:rsid w:val="75246ABB"/>
    <w:rsid w:val="762A34F4"/>
    <w:rsid w:val="767C19B2"/>
    <w:rsid w:val="77536BB7"/>
    <w:rsid w:val="77A64F39"/>
    <w:rsid w:val="77E37F3B"/>
    <w:rsid w:val="79B871A5"/>
    <w:rsid w:val="79FA3926"/>
    <w:rsid w:val="7A287D04"/>
    <w:rsid w:val="7B4A77D1"/>
    <w:rsid w:val="7C335A3D"/>
    <w:rsid w:val="7D6E2493"/>
    <w:rsid w:val="7DFC3B04"/>
    <w:rsid w:val="7E1F5A45"/>
    <w:rsid w:val="7FCD64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iPriority="99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7">
    <w:name w:val="Default Paragraph Font"/>
    <w:semiHidden/>
    <w:unhideWhenUsed/>
    <w:uiPriority w:val="1"/>
  </w:style>
  <w:style w:type="table" w:default="1" w:styleId="5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9"/>
    <w:autoRedefine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8"/>
    <w:autoRedefine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4">
    <w:name w:val="Subtitle"/>
    <w:basedOn w:val="1"/>
    <w:next w:val="1"/>
    <w:qFormat/>
    <w:uiPriority w:val="11"/>
    <w:pPr>
      <w:numPr>
        <w:ilvl w:val="0"/>
        <w:numId w:val="1"/>
      </w:numPr>
      <w:spacing w:line="312" w:lineRule="auto"/>
      <w:ind w:firstLine="0"/>
      <w:outlineLvl w:val="1"/>
    </w:pPr>
    <w:rPr>
      <w:rFonts w:ascii="Cambria" w:hAnsi="Cambria"/>
      <w:b/>
      <w:bCs/>
      <w:kern w:val="28"/>
      <w:sz w:val="30"/>
      <w:szCs w:val="32"/>
    </w:rPr>
  </w:style>
  <w:style w:type="table" w:styleId="6">
    <w:name w:val="Table Grid"/>
    <w:basedOn w:val="5"/>
    <w:autoRedefine/>
    <w:qFormat/>
    <w:uiPriority w:val="3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8">
    <w:name w:val="页眉 字符"/>
    <w:basedOn w:val="7"/>
    <w:link w:val="3"/>
    <w:autoRedefine/>
    <w:qFormat/>
    <w:uiPriority w:val="99"/>
    <w:rPr>
      <w:sz w:val="18"/>
      <w:szCs w:val="18"/>
    </w:rPr>
  </w:style>
  <w:style w:type="character" w:customStyle="1" w:styleId="9">
    <w:name w:val="页脚 字符"/>
    <w:basedOn w:val="7"/>
    <w:link w:val="2"/>
    <w:autoRedefine/>
    <w:qFormat/>
    <w:uiPriority w:val="99"/>
    <w:rPr>
      <w:sz w:val="18"/>
      <w:szCs w:val="18"/>
    </w:rPr>
  </w:style>
  <w:style w:type="paragraph" w:styleId="10">
    <w:name w:val="List Paragraph"/>
    <w:basedOn w:val="1"/>
    <w:unhideWhenUsed/>
    <w:uiPriority w:val="99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3</Pages>
  <Words>1096</Words>
  <Characters>1303</Characters>
  <Lines>86</Lines>
  <Paragraphs>113</Paragraphs>
  <TotalTime>53</TotalTime>
  <ScaleCrop>false</ScaleCrop>
  <LinksUpToDate>false</LinksUpToDate>
  <CharactersWithSpaces>1380</CharactersWithSpaces>
  <Application>WPS Office_12.1.0.23542_F1E327BC-269C-435d-A152-05C5408002CA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2021-07-18T09:00:00Z</dcterms:created>
  <dc:creator>Jiang Xiaosong</dc:creator>
  <cp:lastModifiedBy>肖帅龙</cp:lastModifiedBy>
  <cp:lastPrinted>2023-12-20T06:47:00Z</cp:lastPrinted>
  <dcterms:modified xsi:type="dcterms:W3CDTF">2025-11-25T09:35:58Z</dcterms:modified>
  <cp:revision>19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2052-12.1.0.23542</vt:lpwstr>
  </property>
  <property fmtid="{D5CDD505-2E9C-101B-9397-08002B2CF9AE}" pid="3" name="ICV">
    <vt:lpwstr>2B7DA81489C24AC08602CE2029ED6A1F</vt:lpwstr>
  </property>
  <property fmtid="{D5CDD505-2E9C-101B-9397-08002B2CF9AE}" pid="4" name="KSOTemplateDocerSaveRecord">
    <vt:lpwstr>eyJoZGlkIjoiZTQ4ODQwNThiYTg4YTBlNDhkZDRmNGNiNWM5NWE1YzAiLCJ1c2VySWQiOiI0NjE2NjQ3MzkifQ==</vt:lpwstr>
  </property>
</Properties>
</file>