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ind w:firstLine="0" w:firstLineChars="0"/>
        <w:jc w:val="center"/>
        <w:rPr>
          <w:color w:val="auto"/>
        </w:rPr>
      </w:pPr>
      <w:bookmarkStart w:id="0" w:name="_Toc322717833"/>
      <w:r>
        <w:rPr>
          <w:rFonts w:hint="eastAsia"/>
          <w:color w:val="auto"/>
        </w:rPr>
        <w:t>外国语学院202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年本科生转专业</w:t>
      </w:r>
      <w:bookmarkEnd w:id="0"/>
      <w:r>
        <w:rPr>
          <w:rFonts w:hint="eastAsia"/>
          <w:color w:val="auto"/>
        </w:rPr>
        <w:t>实施细则</w:t>
      </w:r>
    </w:p>
    <w:p>
      <w:pPr>
        <w:pStyle w:val="7"/>
        <w:numPr>
          <w:ilvl w:val="0"/>
          <w:numId w:val="2"/>
        </w:numPr>
        <w:ind w:left="141" w:hanging="141" w:hangingChars="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转专业工作领导小组</w:t>
      </w:r>
    </w:p>
    <w:p>
      <w:pPr>
        <w:ind w:firstLine="0" w:firstLineChars="0"/>
        <w:rPr>
          <w:rFonts w:hint="eastAsia" w:eastAsia="宋体"/>
          <w:color w:val="auto"/>
          <w:szCs w:val="24"/>
          <w:lang w:eastAsia="zh-CN"/>
        </w:rPr>
      </w:pPr>
      <w:r>
        <w:rPr>
          <w:rFonts w:hint="eastAsia"/>
          <w:color w:val="auto"/>
          <w:szCs w:val="24"/>
        </w:rPr>
        <w:t>组  长：</w:t>
      </w:r>
      <w:r>
        <w:rPr>
          <w:rFonts w:hint="eastAsia"/>
          <w:color w:val="auto"/>
          <w:szCs w:val="24"/>
          <w:lang w:eastAsia="zh-CN"/>
        </w:rPr>
        <w:t>俞森林</w:t>
      </w:r>
    </w:p>
    <w:p>
      <w:pPr>
        <w:ind w:firstLine="0" w:firstLineChars="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副组长：杨安文</w:t>
      </w:r>
    </w:p>
    <w:p>
      <w:pPr>
        <w:ind w:firstLine="0" w:firstLineChars="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成  员：</w:t>
      </w:r>
      <w:r>
        <w:rPr>
          <w:rFonts w:ascii="宋体" w:hAnsi="宋体" w:eastAsia="宋体" w:cs="宋体"/>
          <w:sz w:val="24"/>
          <w:szCs w:val="24"/>
        </w:rPr>
        <w:t>曾祥敏、</w:t>
      </w:r>
      <w:r>
        <w:rPr>
          <w:rFonts w:hint="eastAsia" w:ascii="宋体" w:hAnsi="宋体" w:cs="宋体"/>
          <w:sz w:val="24"/>
          <w:szCs w:val="24"/>
          <w:lang w:eastAsia="zh-CN"/>
        </w:rPr>
        <w:t>宋美华、</w:t>
      </w:r>
      <w:r>
        <w:rPr>
          <w:rFonts w:ascii="宋体" w:hAnsi="宋体" w:eastAsia="宋体" w:cs="宋体"/>
          <w:sz w:val="24"/>
          <w:szCs w:val="24"/>
        </w:rPr>
        <w:t>李海振、何俊、</w:t>
      </w:r>
      <w:r>
        <w:rPr>
          <w:rFonts w:hint="eastAsia" w:ascii="宋体" w:hAnsi="宋体" w:cs="宋体"/>
          <w:sz w:val="24"/>
          <w:szCs w:val="24"/>
          <w:lang w:eastAsia="zh-CN"/>
        </w:rPr>
        <w:t>王海玲</w:t>
      </w:r>
      <w:r>
        <w:rPr>
          <w:rFonts w:ascii="宋体" w:hAnsi="宋体" w:eastAsia="宋体" w:cs="宋体"/>
          <w:sz w:val="24"/>
          <w:szCs w:val="24"/>
        </w:rPr>
        <w:t>、左天梦、蒲茂华</w:t>
      </w:r>
    </w:p>
    <w:p>
      <w:pPr>
        <w:ind w:firstLine="0" w:firstLineChars="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秘  书：郝慧颖</w:t>
      </w:r>
    </w:p>
    <w:p>
      <w:pPr>
        <w:pStyle w:val="7"/>
        <w:numPr>
          <w:ilvl w:val="0"/>
          <w:numId w:val="2"/>
        </w:numPr>
        <w:ind w:left="141" w:hanging="141" w:hangingChars="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学院大类内专业分流实施</w:t>
      </w:r>
      <w:r>
        <w:rPr>
          <w:color w:val="auto"/>
          <w:sz w:val="28"/>
          <w:szCs w:val="28"/>
        </w:rPr>
        <w:t>细则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>外国语学院外国语言文学大类下设英语、日语、德语、法语、翻译，高考考生按照外国语言文学类报考。新生报到后，外国语学院将安排统一英语考试，学生根据自己的意愿选择专业，分数高的学生优先选择。</w:t>
      </w:r>
    </w:p>
    <w:p>
      <w:pPr>
        <w:pStyle w:val="7"/>
        <w:numPr>
          <w:ilvl w:val="0"/>
          <w:numId w:val="2"/>
        </w:numPr>
        <w:ind w:left="141" w:hanging="141" w:hangingChars="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转专业实施细则</w:t>
      </w:r>
    </w:p>
    <w:p>
      <w:pPr>
        <w:pStyle w:val="7"/>
        <w:numPr>
          <w:ilvl w:val="0"/>
          <w:numId w:val="0"/>
        </w:numPr>
        <w:ind w:left="420"/>
        <w:rPr>
          <w:color w:val="auto"/>
        </w:rPr>
      </w:pPr>
      <w:r>
        <w:rPr>
          <w:rFonts w:hint="eastAsia"/>
          <w:color w:val="auto"/>
          <w:sz w:val="28"/>
          <w:szCs w:val="28"/>
        </w:rPr>
        <w:t>1、</w:t>
      </w:r>
      <w:r>
        <w:rPr>
          <w:rFonts w:hint="eastAsia"/>
          <w:color w:val="auto"/>
          <w:kern w:val="0"/>
          <w:sz w:val="28"/>
          <w:szCs w:val="28"/>
        </w:rPr>
        <w:t>转专业要求</w:t>
      </w:r>
    </w:p>
    <w:p>
      <w:pPr>
        <w:ind w:left="120" w:leftChars="50" w:firstLine="480"/>
        <w:rPr>
          <w:color w:val="auto"/>
        </w:rPr>
      </w:pPr>
      <w:r>
        <w:rPr>
          <w:rFonts w:hint="eastAsia"/>
          <w:color w:val="auto"/>
        </w:rPr>
        <w:t>申请人需符合《西南交通大学本科生转专业管理办法》（西交校教 [20</w:t>
      </w:r>
      <w:r>
        <w:rPr>
          <w:rFonts w:hint="eastAsia"/>
          <w:color w:val="auto"/>
          <w:lang w:val="en-US" w:eastAsia="zh-CN"/>
        </w:rPr>
        <w:t>19</w:t>
      </w:r>
      <w:bookmarkStart w:id="1" w:name="_GoBack"/>
      <w:bookmarkEnd w:id="1"/>
      <w:r>
        <w:rPr>
          <w:rFonts w:hint="eastAsia"/>
          <w:color w:val="auto"/>
        </w:rPr>
        <w:t>] 126号）规定的基本要求，热爱外语专业，品学兼优，学习刻苦，身体健康，了解外语专业的培养要求。原则上允许一、二年级的学生转专业，转专业学生人数控制在转入年级总人数的10%以内。各转入专业具体要求如下：</w:t>
      </w:r>
    </w:p>
    <w:p>
      <w:pPr>
        <w:ind w:firstLineChars="0"/>
        <w:rPr>
          <w:b/>
          <w:color w:val="auto"/>
        </w:rPr>
      </w:pPr>
      <w:r>
        <w:rPr>
          <w:rFonts w:hint="eastAsia"/>
          <w:b/>
          <w:color w:val="auto"/>
        </w:rPr>
        <w:t>1、英语、翻译专业（以下条件中1、2、6为必选项；3、4、5为可选项，必须至少满足可选项中其中1项）</w:t>
      </w:r>
    </w:p>
    <w:p>
      <w:pPr>
        <w:pStyle w:val="18"/>
        <w:numPr>
          <w:ilvl w:val="0"/>
          <w:numId w:val="3"/>
        </w:numPr>
        <w:ind w:firstLineChars="0"/>
        <w:rPr>
          <w:color w:val="auto"/>
        </w:rPr>
      </w:pPr>
      <w:r>
        <w:rPr>
          <w:rFonts w:hint="eastAsia"/>
          <w:color w:val="auto"/>
          <w:szCs w:val="24"/>
        </w:rPr>
        <w:t>通过原录取专业培养计划中已开设的全部必修课和限选课，且所有课程平均成绩在75分及以上。</w:t>
      </w:r>
    </w:p>
    <w:p>
      <w:pPr>
        <w:pStyle w:val="18"/>
        <w:numPr>
          <w:ilvl w:val="0"/>
          <w:numId w:val="3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申请者均需参加相关专业系组织的专业考试，考试包括笔试和口试。</w:t>
      </w:r>
      <w:r>
        <w:rPr>
          <w:rFonts w:hint="eastAsia"/>
          <w:color w:val="auto"/>
          <w:szCs w:val="24"/>
        </w:rPr>
        <w:t>百分制的口试、笔试成绩均不得低于60分。</w:t>
      </w:r>
      <w:r>
        <w:rPr>
          <w:rFonts w:hint="eastAsia" w:cs="宋体"/>
          <w:color w:val="auto"/>
        </w:rPr>
        <w:t>面试合格者，</w:t>
      </w:r>
      <w:r>
        <w:rPr>
          <w:rFonts w:hint="eastAsia"/>
          <w:color w:val="auto"/>
          <w:szCs w:val="24"/>
        </w:rPr>
        <w:t>按计划录取名额根据面试分数（口试+笔试）从高到低录取。</w:t>
      </w:r>
    </w:p>
    <w:p>
      <w:pPr>
        <w:pStyle w:val="18"/>
        <w:numPr>
          <w:ilvl w:val="0"/>
          <w:numId w:val="3"/>
        </w:numPr>
        <w:ind w:firstLineChars="0"/>
        <w:rPr>
          <w:color w:val="auto"/>
        </w:rPr>
      </w:pPr>
      <w:r>
        <w:rPr>
          <w:rFonts w:hint="eastAsia"/>
          <w:color w:val="auto"/>
        </w:rPr>
        <w:t>或者已修拟转入专业准入课程。</w:t>
      </w:r>
    </w:p>
    <w:p>
      <w:pPr>
        <w:pStyle w:val="18"/>
        <w:numPr>
          <w:ilvl w:val="0"/>
          <w:numId w:val="3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或者大学英语四级考试成绩在</w:t>
      </w:r>
      <w:r>
        <w:rPr>
          <w:color w:val="auto"/>
        </w:rPr>
        <w:t>5</w:t>
      </w:r>
      <w:r>
        <w:rPr>
          <w:rFonts w:hint="eastAsia"/>
          <w:color w:val="auto"/>
        </w:rPr>
        <w:t>5</w:t>
      </w:r>
      <w:r>
        <w:rPr>
          <w:color w:val="auto"/>
        </w:rPr>
        <w:t>0</w:t>
      </w:r>
      <w:r>
        <w:rPr>
          <w:rFonts w:hint="eastAsia" w:cs="宋体"/>
          <w:color w:val="auto"/>
        </w:rPr>
        <w:t>分及以上，或大学英语六级考试成绩在</w:t>
      </w:r>
      <w:r>
        <w:rPr>
          <w:color w:val="auto"/>
        </w:rPr>
        <w:t>5</w:t>
      </w:r>
      <w:r>
        <w:rPr>
          <w:rFonts w:hint="eastAsia"/>
          <w:color w:val="auto"/>
        </w:rPr>
        <w:t>2</w:t>
      </w:r>
      <w:r>
        <w:rPr>
          <w:color w:val="auto"/>
        </w:rPr>
        <w:t>0</w:t>
      </w:r>
      <w:r>
        <w:rPr>
          <w:rFonts w:hint="eastAsia" w:cs="宋体"/>
          <w:color w:val="auto"/>
        </w:rPr>
        <w:t>分及以上。</w:t>
      </w:r>
    </w:p>
    <w:p>
      <w:pPr>
        <w:pStyle w:val="18"/>
        <w:numPr>
          <w:ilvl w:val="0"/>
          <w:numId w:val="3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或者获得“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外研社·国才杯</w:t>
      </w:r>
      <w:r>
        <w:rPr>
          <w:rFonts w:hint="eastAsia" w:cs="宋体"/>
          <w:color w:val="auto"/>
        </w:rPr>
        <w:t>”英语演讲大赛、写作大赛、阅读大赛校级一等奖及以上奖项，或“新秀杯”大学生英语挑战赛英语演讲大赛、写作大赛、阅读大赛校级一等奖及以上奖项。</w:t>
      </w:r>
    </w:p>
    <w:p>
      <w:pPr>
        <w:pStyle w:val="18"/>
        <w:numPr>
          <w:ilvl w:val="0"/>
          <w:numId w:val="3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大一学年结束，申请转专业的学生达到</w:t>
      </w:r>
      <w:r>
        <w:rPr>
          <w:rFonts w:hint="eastAsia"/>
          <w:color w:val="auto"/>
        </w:rPr>
        <w:t>先修转专业准入课程，修读学时为8学时及以上，所修课程中至少有一门是第二学期的课程，且准入课程的平均成绩在80分及以上，同时转专业笔试和面试成绩达到优秀等级（笔试总分100分，面试总分100分，每项得分均为80分及以上视为优秀），</w:t>
      </w:r>
      <w:r>
        <w:rPr>
          <w:rFonts w:hint="eastAsia" w:cs="宋体"/>
          <w:color w:val="auto"/>
        </w:rPr>
        <w:t>可直接转入二年级学习。否则，将降级进入一年级学习。鉴于外语专业的特殊性和学习难度，大二学年结束，申请转专业的学生，原则上都要求降级进入二年级学习。</w:t>
      </w:r>
    </w:p>
    <w:p>
      <w:pPr>
        <w:ind w:firstLineChars="0"/>
        <w:rPr>
          <w:b/>
          <w:color w:val="auto"/>
        </w:rPr>
      </w:pPr>
      <w:r>
        <w:rPr>
          <w:rFonts w:hint="eastAsia"/>
          <w:b/>
          <w:color w:val="auto"/>
        </w:rPr>
        <w:t>2、德语、日语和法语专业（以下条件中1、2、6为必选项；3、4、5为可选项，必须至少满足可选项中其中1项）</w:t>
      </w:r>
    </w:p>
    <w:p>
      <w:pPr>
        <w:pStyle w:val="18"/>
        <w:numPr>
          <w:ilvl w:val="0"/>
          <w:numId w:val="4"/>
        </w:numPr>
        <w:ind w:firstLineChars="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通过原录取专业培养计划中已开设的全部必修课和限选课，且所有课程平均成绩在75分及以上。</w:t>
      </w:r>
    </w:p>
    <w:p>
      <w:pPr>
        <w:pStyle w:val="18"/>
        <w:numPr>
          <w:ilvl w:val="0"/>
          <w:numId w:val="4"/>
        </w:numPr>
        <w:ind w:firstLineChars="0"/>
        <w:rPr>
          <w:color w:val="auto"/>
          <w:szCs w:val="24"/>
        </w:rPr>
      </w:pPr>
      <w:r>
        <w:rPr>
          <w:rFonts w:hint="eastAsia" w:cs="宋体"/>
          <w:color w:val="auto"/>
        </w:rPr>
        <w:t>申请者均需参加相关专业系组织的专业考试，考试包括笔试和口试。</w:t>
      </w:r>
      <w:r>
        <w:rPr>
          <w:rFonts w:hint="eastAsia"/>
          <w:color w:val="auto"/>
          <w:szCs w:val="24"/>
        </w:rPr>
        <w:t>百分制的口试、笔试成绩均不得低于60分。</w:t>
      </w:r>
      <w:r>
        <w:rPr>
          <w:rFonts w:hint="eastAsia" w:cs="宋体"/>
          <w:color w:val="auto"/>
        </w:rPr>
        <w:t>面试合格者，</w:t>
      </w:r>
      <w:r>
        <w:rPr>
          <w:rFonts w:hint="eastAsia"/>
          <w:color w:val="auto"/>
          <w:szCs w:val="24"/>
        </w:rPr>
        <w:t>按计划录取名额根据面试分数（口试+笔试）从高到低录取。</w:t>
      </w:r>
    </w:p>
    <w:p>
      <w:pPr>
        <w:pStyle w:val="18"/>
        <w:numPr>
          <w:ilvl w:val="0"/>
          <w:numId w:val="4"/>
        </w:numPr>
        <w:ind w:firstLineChars="0"/>
        <w:rPr>
          <w:color w:val="auto"/>
        </w:rPr>
      </w:pPr>
      <w:r>
        <w:rPr>
          <w:rFonts w:hint="eastAsia"/>
          <w:color w:val="auto"/>
        </w:rPr>
        <w:t>或者已修拟转入专业准入课程（课程名单及学分要求详见附表）。</w:t>
      </w:r>
    </w:p>
    <w:p>
      <w:pPr>
        <w:pStyle w:val="18"/>
        <w:numPr>
          <w:ilvl w:val="0"/>
          <w:numId w:val="4"/>
        </w:numPr>
        <w:ind w:firstLineChars="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或者：对于非外国语学院学生，</w:t>
      </w:r>
      <w:r>
        <w:rPr>
          <w:rFonts w:hint="eastAsia" w:cs="宋体"/>
          <w:color w:val="auto"/>
        </w:rPr>
        <w:t>已修所有英语类课程成绩在</w:t>
      </w:r>
      <w:r>
        <w:rPr>
          <w:color w:val="auto"/>
        </w:rPr>
        <w:t>80</w:t>
      </w:r>
      <w:r>
        <w:rPr>
          <w:rFonts w:hint="eastAsia" w:cs="宋体"/>
          <w:color w:val="auto"/>
        </w:rPr>
        <w:t>分及以上，且大学英语四级考试成绩在</w:t>
      </w:r>
      <w:r>
        <w:rPr>
          <w:color w:val="auto"/>
        </w:rPr>
        <w:t>5</w:t>
      </w:r>
      <w:r>
        <w:rPr>
          <w:rFonts w:hint="eastAsia"/>
          <w:color w:val="auto"/>
        </w:rPr>
        <w:t>5</w:t>
      </w:r>
      <w:r>
        <w:rPr>
          <w:color w:val="auto"/>
        </w:rPr>
        <w:t>0</w:t>
      </w:r>
      <w:r>
        <w:rPr>
          <w:rFonts w:hint="eastAsia" w:cs="宋体"/>
          <w:color w:val="auto"/>
        </w:rPr>
        <w:t>分及以上，或大学英语六级考试成绩在</w:t>
      </w:r>
      <w:r>
        <w:rPr>
          <w:color w:val="auto"/>
        </w:rPr>
        <w:t>5</w:t>
      </w:r>
      <w:r>
        <w:rPr>
          <w:rFonts w:hint="eastAsia"/>
          <w:color w:val="auto"/>
        </w:rPr>
        <w:t>2</w:t>
      </w:r>
      <w:r>
        <w:rPr>
          <w:color w:val="auto"/>
        </w:rPr>
        <w:t>0</w:t>
      </w:r>
      <w:r>
        <w:rPr>
          <w:rFonts w:hint="eastAsia" w:cs="宋体"/>
          <w:color w:val="auto"/>
        </w:rPr>
        <w:t>分及以上；</w:t>
      </w:r>
      <w:r>
        <w:rPr>
          <w:rFonts w:hint="eastAsia"/>
          <w:color w:val="auto"/>
          <w:szCs w:val="24"/>
        </w:rPr>
        <w:t>对于外国语学院学生，高考英语（或其他外语）成绩在120分及以上且相关专业课程平均成绩在80分及以上。</w:t>
      </w:r>
    </w:p>
    <w:p>
      <w:pPr>
        <w:pStyle w:val="18"/>
        <w:numPr>
          <w:ilvl w:val="0"/>
          <w:numId w:val="4"/>
        </w:numPr>
        <w:ind w:firstLineChars="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或者已获得拟申请专业语种的国内或国际水平考试证书</w:t>
      </w:r>
      <w:r>
        <w:rPr>
          <w:rFonts w:hint="eastAsia"/>
          <w:color w:val="auto"/>
          <w:szCs w:val="24"/>
          <w:lang w:eastAsia="zh-CN"/>
        </w:rPr>
        <w:t>（日语：</w:t>
      </w:r>
      <w:r>
        <w:rPr>
          <w:rFonts w:hint="eastAsia"/>
          <w:color w:val="auto"/>
          <w:szCs w:val="24"/>
        </w:rPr>
        <w:t>日本语能力测试N3以上证书</w:t>
      </w:r>
      <w:r>
        <w:rPr>
          <w:rFonts w:hint="eastAsia"/>
          <w:color w:val="auto"/>
          <w:szCs w:val="24"/>
          <w:lang w:eastAsia="zh-CN"/>
        </w:rPr>
        <w:t>），</w:t>
      </w:r>
      <w:r>
        <w:rPr>
          <w:rFonts w:hint="eastAsia"/>
          <w:color w:val="auto"/>
          <w:szCs w:val="24"/>
        </w:rPr>
        <w:t>由外国语学院转专业工作领导小组认定。</w:t>
      </w:r>
    </w:p>
    <w:p>
      <w:pPr>
        <w:pStyle w:val="18"/>
        <w:numPr>
          <w:ilvl w:val="0"/>
          <w:numId w:val="4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大一学年结束，申请转专业的学生达到</w:t>
      </w:r>
      <w:r>
        <w:rPr>
          <w:rFonts w:hint="eastAsia"/>
          <w:color w:val="auto"/>
        </w:rPr>
        <w:t>先修转专业准入课程，修读学时为16学时及以上，所修课程中至少有一门是第二学期的课程，且准入课程的平均成绩在80分及以上，同时转专业笔试和面试成绩达到优秀等级（笔试总分100分，面试总分100分，每项得分均为80分及以上视为优秀）</w:t>
      </w:r>
      <w:r>
        <w:rPr>
          <w:rFonts w:hint="eastAsia"/>
          <w:color w:val="auto"/>
          <w:lang w:eastAsia="zh-CN"/>
        </w:rPr>
        <w:t>，</w:t>
      </w:r>
      <w:r>
        <w:rPr>
          <w:rFonts w:hint="eastAsia" w:cs="宋体"/>
          <w:color w:val="auto"/>
        </w:rPr>
        <w:t>可直接转入二年级学习。否则，将降级进入一年级学习。鉴于外语专业的特殊性和学习难度，大二学年结束，申请转专业的学生原则上都要求降级进入二年级学习。但参加了全国大学德语/日语/法语专业四级考试，等级为“良”及以上者，可直接转入三年级学习。</w:t>
      </w:r>
    </w:p>
    <w:p>
      <w:pPr>
        <w:ind w:firstLineChars="0"/>
        <w:rPr>
          <w:b/>
          <w:color w:val="auto"/>
        </w:rPr>
      </w:pPr>
      <w:r>
        <w:rPr>
          <w:rFonts w:hint="eastAsia"/>
          <w:b/>
          <w:color w:val="auto"/>
          <w:szCs w:val="24"/>
        </w:rPr>
        <w:t>3、汉语国际教育专业</w:t>
      </w:r>
      <w:r>
        <w:rPr>
          <w:rFonts w:hint="eastAsia"/>
          <w:b/>
          <w:color w:val="auto"/>
        </w:rPr>
        <w:t>（以下条件中1、2、6为必选项，3、4、5为可选项，必须至少满足可选项中其中1项）</w:t>
      </w:r>
    </w:p>
    <w:p>
      <w:pPr>
        <w:pStyle w:val="18"/>
        <w:numPr>
          <w:ilvl w:val="0"/>
          <w:numId w:val="5"/>
        </w:numPr>
        <w:ind w:firstLineChars="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通过原录取专业培养计划中已开设的全部必修课和限选课，且所有课程平均成绩在75分及以上，通过《国际汉语教师证》的优先。</w:t>
      </w:r>
    </w:p>
    <w:p>
      <w:pPr>
        <w:pStyle w:val="18"/>
        <w:numPr>
          <w:ilvl w:val="0"/>
          <w:numId w:val="5"/>
        </w:numPr>
        <w:ind w:firstLineChars="0"/>
        <w:rPr>
          <w:color w:val="auto"/>
          <w:szCs w:val="24"/>
        </w:rPr>
      </w:pPr>
      <w:r>
        <w:rPr>
          <w:rFonts w:hint="eastAsia" w:cs="宋体"/>
          <w:color w:val="auto"/>
        </w:rPr>
        <w:t>申请者均需参加相关专业系组织的专业考试，考试包括笔试和口试。</w:t>
      </w:r>
      <w:r>
        <w:rPr>
          <w:rFonts w:hint="eastAsia"/>
          <w:color w:val="auto"/>
          <w:szCs w:val="24"/>
        </w:rPr>
        <w:t>百分制的口试、笔试成绩均不得低于60分。</w:t>
      </w:r>
      <w:r>
        <w:rPr>
          <w:rFonts w:hint="eastAsia" w:cs="宋体"/>
          <w:color w:val="auto"/>
        </w:rPr>
        <w:t>面试合格者，</w:t>
      </w:r>
      <w:r>
        <w:rPr>
          <w:rFonts w:hint="eastAsia"/>
          <w:color w:val="auto"/>
          <w:szCs w:val="24"/>
        </w:rPr>
        <w:t>按计划录取名额根据面试分数（口试+笔试）从高到低录取。</w:t>
      </w:r>
    </w:p>
    <w:p>
      <w:pPr>
        <w:pStyle w:val="18"/>
        <w:numPr>
          <w:ilvl w:val="0"/>
          <w:numId w:val="5"/>
        </w:numPr>
        <w:ind w:firstLineChars="0"/>
        <w:rPr>
          <w:color w:val="auto"/>
        </w:rPr>
      </w:pPr>
      <w:r>
        <w:rPr>
          <w:rFonts w:hint="eastAsia"/>
          <w:color w:val="auto"/>
        </w:rPr>
        <w:t>或者已修拟转入专业准入课程（课程名单及学分要求详见附表）。</w:t>
      </w:r>
    </w:p>
    <w:p>
      <w:pPr>
        <w:pStyle w:val="18"/>
        <w:numPr>
          <w:ilvl w:val="0"/>
          <w:numId w:val="5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或者大学英语四级考试成绩在</w:t>
      </w:r>
      <w:r>
        <w:rPr>
          <w:color w:val="auto"/>
        </w:rPr>
        <w:t>5</w:t>
      </w:r>
      <w:r>
        <w:rPr>
          <w:rFonts w:hint="eastAsia"/>
          <w:color w:val="auto"/>
        </w:rPr>
        <w:t>5</w:t>
      </w:r>
      <w:r>
        <w:rPr>
          <w:color w:val="auto"/>
        </w:rPr>
        <w:t>0</w:t>
      </w:r>
      <w:r>
        <w:rPr>
          <w:rFonts w:hint="eastAsia" w:cs="宋体"/>
          <w:color w:val="auto"/>
        </w:rPr>
        <w:t>分及以上，或大学英语六级考试成绩在</w:t>
      </w:r>
      <w:r>
        <w:rPr>
          <w:color w:val="auto"/>
        </w:rPr>
        <w:t>5</w:t>
      </w:r>
      <w:r>
        <w:rPr>
          <w:rFonts w:hint="eastAsia"/>
          <w:color w:val="auto"/>
        </w:rPr>
        <w:t>2</w:t>
      </w:r>
      <w:r>
        <w:rPr>
          <w:color w:val="auto"/>
        </w:rPr>
        <w:t>0</w:t>
      </w:r>
      <w:r>
        <w:rPr>
          <w:rFonts w:hint="eastAsia" w:cs="宋体"/>
          <w:color w:val="auto"/>
        </w:rPr>
        <w:t>分以上。</w:t>
      </w:r>
    </w:p>
    <w:p>
      <w:pPr>
        <w:pStyle w:val="18"/>
        <w:numPr>
          <w:ilvl w:val="0"/>
          <w:numId w:val="5"/>
        </w:numPr>
        <w:ind w:firstLineChars="0"/>
        <w:rPr>
          <w:color w:val="auto"/>
        </w:rPr>
      </w:pPr>
      <w:r>
        <w:rPr>
          <w:rFonts w:hint="eastAsia" w:ascii="宋体" w:hAnsi="宋体"/>
          <w:color w:val="auto"/>
        </w:rPr>
        <w:t>或者</w:t>
      </w:r>
      <w:r>
        <w:rPr>
          <w:rFonts w:ascii="宋体" w:hAnsi="宋体"/>
          <w:color w:val="auto"/>
        </w:rPr>
        <w:t>对拟转入专业有浓厚兴趣并有一定的</w:t>
      </w:r>
      <w:r>
        <w:rPr>
          <w:rFonts w:hint="eastAsia" w:ascii="宋体" w:hAnsi="宋体"/>
          <w:color w:val="auto"/>
        </w:rPr>
        <w:t>学习</w:t>
      </w:r>
      <w:r>
        <w:rPr>
          <w:rFonts w:ascii="宋体" w:hAnsi="宋体"/>
          <w:color w:val="auto"/>
        </w:rPr>
        <w:t>基础</w:t>
      </w:r>
      <w:r>
        <w:rPr>
          <w:rFonts w:hint="eastAsia" w:ascii="宋体" w:hAnsi="宋体"/>
          <w:color w:val="auto"/>
        </w:rPr>
        <w:t>；</w:t>
      </w:r>
      <w:r>
        <w:rPr>
          <w:rFonts w:ascii="宋体" w:hAnsi="宋体"/>
          <w:color w:val="auto"/>
        </w:rPr>
        <w:t>普通话水平在二级甲等以上</w:t>
      </w:r>
      <w:r>
        <w:rPr>
          <w:rFonts w:hint="eastAsia" w:ascii="宋体" w:hAnsi="宋体"/>
          <w:color w:val="auto"/>
        </w:rPr>
        <w:t>（含二级甲等）；具有一种及以上中华才艺。</w:t>
      </w:r>
    </w:p>
    <w:p>
      <w:pPr>
        <w:pStyle w:val="18"/>
        <w:numPr>
          <w:ilvl w:val="0"/>
          <w:numId w:val="5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大一学年结束，申请转专业的学生达到</w:t>
      </w:r>
      <w:r>
        <w:rPr>
          <w:rFonts w:hint="eastAsia"/>
          <w:color w:val="auto"/>
        </w:rPr>
        <w:t>先修转专业准入课程，修读学时为1</w:t>
      </w:r>
      <w:r>
        <w:rPr>
          <w:color w:val="auto"/>
        </w:rPr>
        <w:t>0</w:t>
      </w:r>
      <w:r>
        <w:rPr>
          <w:rFonts w:hint="eastAsia"/>
          <w:color w:val="auto"/>
        </w:rPr>
        <w:t>学时及以上，所修课程中至少有一门是第二学期的课程，且准入课程的平均成绩在80分及以上，同时转专业笔试和面试成绩达到优秀等级（笔试总分100分，面试总分100分，每项得分均为80分及以上视为优秀）</w:t>
      </w:r>
      <w:r>
        <w:rPr>
          <w:rFonts w:hint="eastAsia" w:cs="宋体"/>
          <w:color w:val="auto"/>
        </w:rPr>
        <w:t>可直接转入二年级学习。否则，将降级进入一年级学习。鉴于本专业的特殊性和学习难度，大二学年结束，申请转专业的学生，原则上都要求降级进入二年级学习。</w:t>
      </w:r>
    </w:p>
    <w:p>
      <w:pPr>
        <w:pStyle w:val="7"/>
        <w:numPr>
          <w:ilvl w:val="0"/>
          <w:numId w:val="0"/>
        </w:numPr>
        <w:ind w:left="420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2、计划录取名额</w:t>
      </w:r>
    </w:p>
    <w:p>
      <w:pPr>
        <w:pStyle w:val="18"/>
        <w:ind w:firstLine="480"/>
        <w:rPr>
          <w:rFonts w:hint="eastAsia" w:eastAsia="宋体"/>
          <w:bCs/>
          <w:color w:val="auto"/>
          <w:szCs w:val="24"/>
          <w:lang w:eastAsia="zh-CN"/>
        </w:rPr>
      </w:pPr>
      <w:r>
        <w:rPr>
          <w:rFonts w:hint="eastAsia"/>
          <w:bCs/>
          <w:color w:val="auto"/>
        </w:rPr>
        <w:t>英语5人、翻译2人、德语2人、日语2人、法语2人、</w:t>
      </w:r>
      <w:r>
        <w:rPr>
          <w:rFonts w:hint="eastAsia"/>
          <w:bCs/>
          <w:color w:val="auto"/>
          <w:szCs w:val="24"/>
        </w:rPr>
        <w:t>汉语国际教育专业2人。</w:t>
      </w:r>
      <w:r>
        <w:rPr>
          <w:rFonts w:ascii="宋体" w:hAnsi="宋体" w:eastAsia="宋体" w:cs="宋体"/>
          <w:sz w:val="24"/>
          <w:szCs w:val="24"/>
        </w:rPr>
        <w:t>退役后复学的学生申请转专业不计入录取总名额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pStyle w:val="7"/>
        <w:numPr>
          <w:ilvl w:val="0"/>
          <w:numId w:val="0"/>
        </w:numPr>
        <w:ind w:left="420"/>
        <w:rPr>
          <w:b w:val="0"/>
          <w:color w:val="auto"/>
          <w:szCs w:val="24"/>
        </w:rPr>
      </w:pPr>
      <w:r>
        <w:rPr>
          <w:rFonts w:hint="eastAsia"/>
          <w:color w:val="auto"/>
          <w:kern w:val="0"/>
          <w:sz w:val="28"/>
          <w:szCs w:val="28"/>
        </w:rPr>
        <w:t>3、转专业</w:t>
      </w:r>
      <w:r>
        <w:rPr>
          <w:color w:val="auto"/>
          <w:kern w:val="0"/>
          <w:sz w:val="28"/>
          <w:szCs w:val="28"/>
        </w:rPr>
        <w:t>准入课程明细</w:t>
      </w:r>
    </w:p>
    <w:tbl>
      <w:tblPr>
        <w:tblStyle w:val="10"/>
        <w:tblW w:w="7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000"/>
        <w:gridCol w:w="2461"/>
        <w:gridCol w:w="90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4"/>
              </w:rPr>
              <w:t>学院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4"/>
              </w:rPr>
              <w:t>专业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4"/>
              </w:rPr>
              <w:t>准入课程</w:t>
            </w:r>
            <w:r>
              <w:rPr>
                <w:rFonts w:asciiTheme="minorEastAsia" w:hAnsiTheme="minorEastAsia" w:eastAsiaTheme="minorEastAsia"/>
                <w:b/>
                <w:color w:val="auto"/>
                <w:szCs w:val="24"/>
              </w:rPr>
              <w:t>名称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4"/>
              </w:rPr>
              <w:t>课程</w:t>
            </w: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4"/>
              </w:rPr>
              <w:t>学分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4"/>
              </w:rPr>
              <w:t>课程</w:t>
            </w: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Cs/>
                <w:color w:val="auto"/>
                <w:kern w:val="28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28"/>
                <w:szCs w:val="24"/>
              </w:rPr>
              <w:t>外国语</w:t>
            </w:r>
            <w:r>
              <w:rPr>
                <w:rFonts w:asciiTheme="minorEastAsia" w:hAnsiTheme="minorEastAsia" w:eastAsiaTheme="minorEastAsia"/>
                <w:bCs/>
                <w:color w:val="auto"/>
                <w:kern w:val="28"/>
                <w:szCs w:val="24"/>
              </w:rPr>
              <w:t>学院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英语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综合英语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</w:rPr>
              <w:t>A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英语听力I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综合英语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</w:rPr>
              <w:t>A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II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英语听力II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"http://jwc.swjtu.edu.cn/vatuu/javascript:setQuery('CourseCode','SoFL003812')" \o "点击查询全部代码为SoFL003812课程"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SoFL003812</w:t>
            </w: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SoFL000912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SoFL005812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SoFL006412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 w:eastAsiaTheme="minorEastAsia"/>
                <w:bCs/>
                <w:color w:val="auto"/>
                <w:kern w:val="28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翻译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综合英语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</w:rPr>
              <w:t>B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基础英语听译I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综合英语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</w:rPr>
              <w:t>B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基础英语听译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Ⅱ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  <w:t>SoFL000112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  <w:t>SoFL002212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  <w:t>SoFL020612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  <w:t>SoFL021212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color w:val="auto"/>
                <w:kern w:val="28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德语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4"/>
                <w:lang w:val="zh-CN"/>
              </w:rPr>
              <w:t>初级德语精读</w:t>
            </w:r>
            <w:r>
              <w:rPr>
                <w:rFonts w:ascii="宋体" w:hAnsi="宋体" w:cs="宋体"/>
                <w:bCs/>
                <w:color w:val="auto"/>
                <w:kern w:val="0"/>
                <w:szCs w:val="24"/>
                <w:lang w:val="zh-CN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4"/>
                <w:lang w:val="zh-CN"/>
              </w:rPr>
              <w:t>初级德语听力</w:t>
            </w:r>
            <w:r>
              <w:rPr>
                <w:rFonts w:ascii="宋体" w:hAnsi="宋体" w:cs="宋体"/>
                <w:bCs/>
                <w:color w:val="auto"/>
                <w:kern w:val="0"/>
                <w:szCs w:val="24"/>
                <w:lang w:val="zh-CN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4"/>
                <w:lang w:val="zh-CN"/>
              </w:rPr>
              <w:t>初级德语精读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4"/>
                <w:lang w:val="zh-CN"/>
              </w:rPr>
              <w:t>初级德语听力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Ⅱ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宋体" w:hAnsi="宋体" w:cs="Cambria"/>
                <w:bCs/>
                <w:color w:val="auto"/>
                <w:kern w:val="0"/>
                <w:szCs w:val="24"/>
              </w:rPr>
            </w:pPr>
            <w:r>
              <w:rPr>
                <w:rFonts w:ascii="宋体" w:hAnsi="宋体" w:cs="Cambr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宋体" w:hAnsi="宋体" w:cs="Cambria"/>
                <w:bCs/>
                <w:color w:val="auto"/>
                <w:kern w:val="0"/>
                <w:szCs w:val="24"/>
              </w:rPr>
            </w:pPr>
            <w:r>
              <w:rPr>
                <w:rFonts w:ascii="宋体" w:hAnsi="宋体" w:cs="Cambria"/>
                <w:bCs/>
                <w:color w:val="auto"/>
                <w:kern w:val="0"/>
                <w:szCs w:val="24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宋体" w:hAnsi="宋体" w:cs="Cambria"/>
                <w:bCs/>
                <w:color w:val="auto"/>
                <w:kern w:val="0"/>
                <w:szCs w:val="24"/>
              </w:rPr>
            </w:pPr>
            <w:r>
              <w:rPr>
                <w:rFonts w:ascii="宋体" w:hAnsi="宋体" w:cs="Cambr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ascii="宋体" w:hAnsi="宋体" w:cs="Cambria"/>
                <w:bCs/>
                <w:color w:val="auto"/>
                <w:kern w:val="0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Cs/>
                <w:color w:val="auto"/>
                <w:kern w:val="0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Cs w:val="24"/>
              </w:rPr>
              <w:t>SoFL003612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4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4"/>
                <w:lang w:val="zh-CN"/>
              </w:rPr>
              <w:t>SoFL003512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4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4"/>
                <w:lang w:val="zh-CN"/>
              </w:rPr>
              <w:t>SoFL014212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4"/>
                <w:lang w:val="zh-CN"/>
              </w:rPr>
              <w:t>SoFL014412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549" w:type="dxa"/>
            <w:vMerge w:val="continue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Theme="minorEastAsia" w:hAnsiTheme="minorEastAsia" w:eastAsiaTheme="minorEastAsia"/>
                <w:bCs/>
                <w:color w:val="auto"/>
                <w:kern w:val="28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法语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基础法语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法语初级视听I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基础法语Ⅱ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法语初级视听Ⅱ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SoFL002612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SoFL003112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SoFL017612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Cs w:val="24"/>
              </w:rPr>
              <w:t>SoFL017812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549" w:type="dxa"/>
            <w:vMerge w:val="continue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Theme="minorEastAsia" w:hAnsiTheme="minorEastAsia" w:eastAsiaTheme="minorEastAsia"/>
                <w:bCs/>
                <w:color w:val="auto"/>
                <w:kern w:val="28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日语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基础日语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zh-CN"/>
              </w:rPr>
              <w:t>A</w:t>
            </w:r>
            <w:r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日语视听说AI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基础日语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zh-CN"/>
              </w:rPr>
              <w:t>A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zh-CN"/>
              </w:rPr>
              <w:t>日语视听说A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Ⅱ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Cambria" w:asciiTheme="minorEastAsia" w:hAnsiTheme="minorEastAsia" w:eastAsiaTheme="minorEastAsia"/>
                <w:bCs/>
                <w:color w:val="auto"/>
                <w:kern w:val="0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SoFL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034312</w:t>
            </w:r>
          </w:p>
          <w:p>
            <w:pPr>
              <w:autoSpaceDE/>
              <w:autoSpaceDN/>
              <w:adjustRightInd w:val="0"/>
              <w:spacing w:line="288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SoFL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034212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</w:rPr>
              <w:t>SoFL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03521</w:t>
            </w: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  <w:lang w:val="zh-CN"/>
              </w:rPr>
              <w:t>SoFL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  <w:t>01781</w:t>
            </w: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549" w:type="dxa"/>
            <w:vMerge w:val="continue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Theme="minorEastAsia" w:hAnsiTheme="minorEastAsia" w:eastAsiaTheme="minorEastAsia"/>
                <w:bCs/>
                <w:color w:val="auto"/>
                <w:kern w:val="28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Cs w:val="24"/>
                <w:lang w:val="zh-CN"/>
              </w:rPr>
              <w:t>汉语国际教育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古代汉语I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现代汉语I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古代汉语Ⅱ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left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现代汉语Ⅱ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4"/>
                <w:lang w:val="zh-CN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</w:rPr>
              <w:t>SoFL002812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</w:rPr>
              <w:t>SoFL001712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</w:rPr>
              <w:t>SoFL024512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8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shd w:val="clear" w:color="auto" w:fill="FFFFFF"/>
              </w:rPr>
              <w:t>SoFL024412</w:t>
            </w:r>
          </w:p>
        </w:tc>
      </w:tr>
    </w:tbl>
    <w:p>
      <w:pPr>
        <w:pStyle w:val="7"/>
        <w:numPr>
          <w:ilvl w:val="0"/>
          <w:numId w:val="0"/>
        </w:numPr>
        <w:ind w:left="420"/>
        <w:rPr>
          <w:rFonts w:hint="eastAsia"/>
          <w:color w:val="auto"/>
          <w:kern w:val="0"/>
          <w:sz w:val="28"/>
          <w:szCs w:val="28"/>
        </w:rPr>
      </w:pPr>
    </w:p>
    <w:p>
      <w:pPr>
        <w:pStyle w:val="7"/>
        <w:numPr>
          <w:ilvl w:val="0"/>
          <w:numId w:val="0"/>
        </w:numPr>
        <w:ind w:left="420"/>
        <w:rPr>
          <w:rFonts w:hint="eastAsia"/>
          <w:color w:val="auto"/>
          <w:kern w:val="0"/>
          <w:sz w:val="28"/>
          <w:szCs w:val="28"/>
        </w:rPr>
      </w:pPr>
    </w:p>
    <w:p>
      <w:pPr>
        <w:pStyle w:val="7"/>
        <w:numPr>
          <w:ilvl w:val="0"/>
          <w:numId w:val="0"/>
        </w:numPr>
        <w:ind w:left="420"/>
        <w:rPr>
          <w:rFonts w:ascii="宋体" w:hAnsi="宋体"/>
          <w:color w:val="auto"/>
          <w:szCs w:val="24"/>
        </w:rPr>
      </w:pPr>
      <w:r>
        <w:rPr>
          <w:rFonts w:hint="eastAsia"/>
          <w:color w:val="auto"/>
          <w:kern w:val="0"/>
          <w:sz w:val="28"/>
          <w:szCs w:val="28"/>
        </w:rPr>
        <w:t>4、转专业考核实施办法</w:t>
      </w:r>
    </w:p>
    <w:p>
      <w:pPr>
        <w:ind w:firstLine="482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b/>
          <w:color w:val="auto"/>
          <w:szCs w:val="24"/>
        </w:rPr>
        <w:t>考核方式：</w:t>
      </w:r>
      <w:r>
        <w:rPr>
          <w:rFonts w:hint="eastAsia" w:ascii="宋体" w:hAnsi="宋体"/>
          <w:color w:val="auto"/>
          <w:szCs w:val="24"/>
        </w:rPr>
        <w:t xml:space="preserve">初步审核+考试（笔试和口试） </w:t>
      </w:r>
    </w:p>
    <w:p>
      <w:pPr>
        <w:ind w:firstLine="482"/>
        <w:rPr>
          <w:rFonts w:ascii="宋体" w:hAnsi="宋体"/>
          <w:color w:val="auto"/>
          <w:szCs w:val="24"/>
        </w:rPr>
      </w:pPr>
      <w:r>
        <w:rPr>
          <w:rFonts w:hint="eastAsia" w:ascii="宋体" w:hAnsi="宋体"/>
          <w:b/>
          <w:color w:val="auto"/>
          <w:szCs w:val="24"/>
        </w:rPr>
        <w:t>考核内容：</w:t>
      </w:r>
      <w:r>
        <w:rPr>
          <w:rFonts w:hint="eastAsia" w:ascii="宋体" w:hAnsi="宋体"/>
          <w:color w:val="auto"/>
          <w:szCs w:val="24"/>
        </w:rPr>
        <w:t>学生主干课成绩、大学入学考试成绩、大学期间学生所在专业的排名情况；拟转入专业的语言能力情况、专业认识、专业兴趣、综合素质等</w:t>
      </w:r>
    </w:p>
    <w:p>
      <w:pPr>
        <w:ind w:firstLine="482"/>
        <w:rPr>
          <w:color w:val="auto"/>
        </w:rPr>
      </w:pPr>
      <w:r>
        <w:rPr>
          <w:rFonts w:hint="eastAsia" w:ascii="宋体" w:hAnsi="宋体"/>
          <w:b/>
          <w:color w:val="auto"/>
          <w:szCs w:val="24"/>
        </w:rPr>
        <w:t>考核时间、地点：</w:t>
      </w:r>
      <w:r>
        <w:rPr>
          <w:rFonts w:hint="eastAsia" w:ascii="宋体" w:hAnsi="宋体"/>
          <w:color w:val="auto"/>
          <w:szCs w:val="24"/>
        </w:rPr>
        <w:t>秋季学期第一周，</w:t>
      </w:r>
      <w:r>
        <w:rPr>
          <w:rFonts w:hint="eastAsia" w:ascii="宋体" w:hAnsi="宋体"/>
          <w:color w:val="auto"/>
          <w:szCs w:val="24"/>
          <w:lang w:eastAsia="zh-CN"/>
        </w:rPr>
        <w:t>具体时间、地点待定</w:t>
      </w:r>
      <w:r>
        <w:rPr>
          <w:rFonts w:hint="eastAsia" w:ascii="宋体" w:hAnsi="宋体"/>
          <w:color w:val="auto"/>
          <w:szCs w:val="24"/>
        </w:rPr>
        <w:t>。</w:t>
      </w:r>
    </w:p>
    <w:p>
      <w:pPr>
        <w:ind w:firstLine="480"/>
        <w:rPr>
          <w:rFonts w:ascii="宋体" w:hAnsi="宋体"/>
          <w:color w:val="auto"/>
          <w:szCs w:val="24"/>
        </w:rPr>
      </w:pPr>
    </w:p>
    <w:p>
      <w:pPr>
        <w:ind w:firstLine="480"/>
        <w:rPr>
          <w:rFonts w:ascii="宋体" w:hAnsi="宋体"/>
          <w:color w:val="auto"/>
          <w:szCs w:val="24"/>
        </w:rPr>
      </w:pPr>
    </w:p>
    <w:p>
      <w:pPr>
        <w:pStyle w:val="7"/>
        <w:numPr>
          <w:ilvl w:val="0"/>
          <w:numId w:val="2"/>
        </w:numPr>
        <w:ind w:left="141" w:hanging="141" w:hangingChars="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转专业咨询方式</w:t>
      </w:r>
    </w:p>
    <w:p>
      <w:pPr>
        <w:pStyle w:val="18"/>
        <w:numPr>
          <w:ilvl w:val="0"/>
          <w:numId w:val="6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地点：犀浦</w:t>
      </w:r>
      <w:r>
        <w:rPr>
          <w:color w:val="auto"/>
        </w:rPr>
        <w:t>X</w:t>
      </w:r>
      <w:r>
        <w:rPr>
          <w:rFonts w:hint="eastAsia"/>
          <w:color w:val="auto"/>
          <w:lang w:val="en-US" w:eastAsia="zh-CN"/>
        </w:rPr>
        <w:t>30801</w:t>
      </w:r>
    </w:p>
    <w:p>
      <w:pPr>
        <w:pStyle w:val="18"/>
        <w:numPr>
          <w:ilvl w:val="0"/>
          <w:numId w:val="6"/>
        </w:numPr>
        <w:ind w:firstLineChars="0"/>
        <w:rPr>
          <w:color w:val="auto"/>
        </w:rPr>
      </w:pPr>
      <w:r>
        <w:rPr>
          <w:rFonts w:hint="eastAsia" w:cs="宋体"/>
          <w:color w:val="auto"/>
        </w:rPr>
        <w:t>联系电话：</w:t>
      </w:r>
      <w:r>
        <w:rPr>
          <w:color w:val="auto"/>
        </w:rPr>
        <w:t>66366705</w:t>
      </w:r>
    </w:p>
    <w:p>
      <w:pPr>
        <w:pStyle w:val="18"/>
        <w:ind w:left="560" w:firstLine="0" w:firstLineChars="0"/>
        <w:rPr>
          <w:color w:val="auto"/>
        </w:rPr>
      </w:pPr>
    </w:p>
    <w:p>
      <w:pPr>
        <w:pStyle w:val="18"/>
        <w:ind w:left="560" w:firstLine="0" w:firstLineChars="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 xml:space="preserve">                                                 外国语学院</w:t>
      </w:r>
    </w:p>
    <w:p>
      <w:pPr>
        <w:ind w:firstLine="480"/>
        <w:rPr>
          <w:rFonts w:ascii="Cambria" w:hAnsi="Cambria"/>
          <w:bCs/>
          <w:color w:val="auto"/>
          <w:kern w:val="28"/>
          <w:szCs w:val="24"/>
        </w:rPr>
      </w:pPr>
      <w:r>
        <w:rPr>
          <w:rFonts w:hint="eastAsia"/>
          <w:color w:val="auto"/>
        </w:rPr>
        <w:t xml:space="preserve">                                            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  20</w:t>
      </w:r>
      <w:r>
        <w:rPr>
          <w:rFonts w:hint="eastAsia"/>
          <w:color w:val="auto"/>
          <w:lang w:val="en-US" w:eastAsia="zh-CN"/>
        </w:rPr>
        <w:t>23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12</w:t>
      </w:r>
      <w:r>
        <w:rPr>
          <w:rFonts w:hint="eastAsia"/>
          <w:color w:val="auto"/>
        </w:rPr>
        <w:t>月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50C25"/>
    <w:multiLevelType w:val="multilevel"/>
    <w:tmpl w:val="0AA50C25"/>
    <w:lvl w:ilvl="0" w:tentative="0">
      <w:start w:val="1"/>
      <w:numFmt w:val="decimal"/>
      <w:lvlText w:val="%1、"/>
      <w:lvlJc w:val="left"/>
      <w:pPr>
        <w:ind w:left="560" w:hanging="36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9311B66"/>
    <w:multiLevelType w:val="multilevel"/>
    <w:tmpl w:val="19311B6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FE5B5F"/>
    <w:multiLevelType w:val="multilevel"/>
    <w:tmpl w:val="42FE5B5F"/>
    <w:lvl w:ilvl="0" w:tentative="0">
      <w:start w:val="1"/>
      <w:numFmt w:val="decimal"/>
      <w:lvlText w:val="%1）"/>
      <w:lvlJc w:val="left"/>
      <w:pPr>
        <w:ind w:left="740" w:hanging="540"/>
      </w:pPr>
      <w:rPr>
        <w:rFonts w:hint="default" w:cs="宋体"/>
      </w:rPr>
    </w:lvl>
    <w:lvl w:ilvl="1" w:tentative="0">
      <w:start w:val="1"/>
      <w:numFmt w:val="decimal"/>
      <w:lvlText w:val="%2）"/>
      <w:lvlJc w:val="left"/>
      <w:pPr>
        <w:ind w:left="885" w:hanging="46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BF46D7"/>
    <w:multiLevelType w:val="multilevel"/>
    <w:tmpl w:val="55BF46D7"/>
    <w:lvl w:ilvl="0" w:tentative="0">
      <w:start w:val="1"/>
      <w:numFmt w:val="chineseCountingThousand"/>
      <w:pStyle w:val="7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CE3441"/>
    <w:multiLevelType w:val="multilevel"/>
    <w:tmpl w:val="5BCE3441"/>
    <w:lvl w:ilvl="0" w:tentative="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4E5472"/>
    <w:multiLevelType w:val="multilevel"/>
    <w:tmpl w:val="644E5472"/>
    <w:lvl w:ilvl="0" w:tentative="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TJlMTE0YjEwNzZkNDE0YWFjODQwMjY0MzgzZTYifQ=="/>
  </w:docVars>
  <w:rsids>
    <w:rsidRoot w:val="00E03943"/>
    <w:rsid w:val="00014AB8"/>
    <w:rsid w:val="00022148"/>
    <w:rsid w:val="000233C8"/>
    <w:rsid w:val="000351E2"/>
    <w:rsid w:val="00037457"/>
    <w:rsid w:val="0004397A"/>
    <w:rsid w:val="00045C0A"/>
    <w:rsid w:val="00076505"/>
    <w:rsid w:val="00084BAB"/>
    <w:rsid w:val="00097A00"/>
    <w:rsid w:val="000A0E1D"/>
    <w:rsid w:val="000B1C84"/>
    <w:rsid w:val="000B1CC2"/>
    <w:rsid w:val="000D726B"/>
    <w:rsid w:val="000D7378"/>
    <w:rsid w:val="000E42A6"/>
    <w:rsid w:val="00122A92"/>
    <w:rsid w:val="00123541"/>
    <w:rsid w:val="00140362"/>
    <w:rsid w:val="001424F4"/>
    <w:rsid w:val="00185EF1"/>
    <w:rsid w:val="001928DA"/>
    <w:rsid w:val="00192A49"/>
    <w:rsid w:val="001A608A"/>
    <w:rsid w:val="001B788E"/>
    <w:rsid w:val="001C2D97"/>
    <w:rsid w:val="001D7474"/>
    <w:rsid w:val="001F5BD7"/>
    <w:rsid w:val="0020635B"/>
    <w:rsid w:val="002153DF"/>
    <w:rsid w:val="002266B9"/>
    <w:rsid w:val="00243CCC"/>
    <w:rsid w:val="00252BB5"/>
    <w:rsid w:val="002536B1"/>
    <w:rsid w:val="00253CC8"/>
    <w:rsid w:val="0025604B"/>
    <w:rsid w:val="0028535D"/>
    <w:rsid w:val="0029388D"/>
    <w:rsid w:val="002945A4"/>
    <w:rsid w:val="002A1033"/>
    <w:rsid w:val="002A276E"/>
    <w:rsid w:val="002A2EEA"/>
    <w:rsid w:val="002A4927"/>
    <w:rsid w:val="002D0055"/>
    <w:rsid w:val="002E49D1"/>
    <w:rsid w:val="003047A5"/>
    <w:rsid w:val="00344390"/>
    <w:rsid w:val="003555C1"/>
    <w:rsid w:val="00373E00"/>
    <w:rsid w:val="00377849"/>
    <w:rsid w:val="00382689"/>
    <w:rsid w:val="00386C14"/>
    <w:rsid w:val="0039136C"/>
    <w:rsid w:val="003A2D26"/>
    <w:rsid w:val="003A3306"/>
    <w:rsid w:val="003B6F55"/>
    <w:rsid w:val="003D30C3"/>
    <w:rsid w:val="003D3942"/>
    <w:rsid w:val="003D4512"/>
    <w:rsid w:val="003E4FDF"/>
    <w:rsid w:val="003F6EAD"/>
    <w:rsid w:val="00412892"/>
    <w:rsid w:val="00425748"/>
    <w:rsid w:val="0043595E"/>
    <w:rsid w:val="00436DB4"/>
    <w:rsid w:val="00450902"/>
    <w:rsid w:val="00464FF5"/>
    <w:rsid w:val="004768D7"/>
    <w:rsid w:val="00483F21"/>
    <w:rsid w:val="004928ED"/>
    <w:rsid w:val="004D4070"/>
    <w:rsid w:val="004D7708"/>
    <w:rsid w:val="004E53D5"/>
    <w:rsid w:val="004E60F1"/>
    <w:rsid w:val="00502EDA"/>
    <w:rsid w:val="00505F33"/>
    <w:rsid w:val="00515A1C"/>
    <w:rsid w:val="005169CA"/>
    <w:rsid w:val="00535BF0"/>
    <w:rsid w:val="00535DED"/>
    <w:rsid w:val="00550DD3"/>
    <w:rsid w:val="00554ED7"/>
    <w:rsid w:val="00575105"/>
    <w:rsid w:val="00576DD3"/>
    <w:rsid w:val="0058472C"/>
    <w:rsid w:val="0058704C"/>
    <w:rsid w:val="0059349C"/>
    <w:rsid w:val="00597F1A"/>
    <w:rsid w:val="005A3061"/>
    <w:rsid w:val="005B3F37"/>
    <w:rsid w:val="005D47B1"/>
    <w:rsid w:val="005E6231"/>
    <w:rsid w:val="00600C0D"/>
    <w:rsid w:val="006206A3"/>
    <w:rsid w:val="00623285"/>
    <w:rsid w:val="006515E7"/>
    <w:rsid w:val="00654E5D"/>
    <w:rsid w:val="006725B5"/>
    <w:rsid w:val="00683FFF"/>
    <w:rsid w:val="00687C49"/>
    <w:rsid w:val="0069139E"/>
    <w:rsid w:val="006D5E12"/>
    <w:rsid w:val="006F06E5"/>
    <w:rsid w:val="007141A3"/>
    <w:rsid w:val="007327A6"/>
    <w:rsid w:val="007618B9"/>
    <w:rsid w:val="00770909"/>
    <w:rsid w:val="00771990"/>
    <w:rsid w:val="00776A49"/>
    <w:rsid w:val="0077774B"/>
    <w:rsid w:val="0078078E"/>
    <w:rsid w:val="00791E7B"/>
    <w:rsid w:val="007B1D1B"/>
    <w:rsid w:val="007C3A39"/>
    <w:rsid w:val="007D573B"/>
    <w:rsid w:val="007D604A"/>
    <w:rsid w:val="00823141"/>
    <w:rsid w:val="00832363"/>
    <w:rsid w:val="00835B39"/>
    <w:rsid w:val="0084788A"/>
    <w:rsid w:val="00853419"/>
    <w:rsid w:val="00860CC7"/>
    <w:rsid w:val="00883AF1"/>
    <w:rsid w:val="008B02B5"/>
    <w:rsid w:val="008B4E97"/>
    <w:rsid w:val="008D2C3C"/>
    <w:rsid w:val="008E4C6E"/>
    <w:rsid w:val="008F6FB8"/>
    <w:rsid w:val="00902BAC"/>
    <w:rsid w:val="009453EB"/>
    <w:rsid w:val="00954F2A"/>
    <w:rsid w:val="00964AEF"/>
    <w:rsid w:val="009741B3"/>
    <w:rsid w:val="009D1789"/>
    <w:rsid w:val="009D1943"/>
    <w:rsid w:val="009D5072"/>
    <w:rsid w:val="009E6849"/>
    <w:rsid w:val="009F2BBD"/>
    <w:rsid w:val="00A06A2B"/>
    <w:rsid w:val="00A23294"/>
    <w:rsid w:val="00A26B89"/>
    <w:rsid w:val="00A3234F"/>
    <w:rsid w:val="00A56656"/>
    <w:rsid w:val="00A7050F"/>
    <w:rsid w:val="00A75BF8"/>
    <w:rsid w:val="00A840EB"/>
    <w:rsid w:val="00AA3ADF"/>
    <w:rsid w:val="00AA64F4"/>
    <w:rsid w:val="00AE1F5B"/>
    <w:rsid w:val="00B01527"/>
    <w:rsid w:val="00B06FF2"/>
    <w:rsid w:val="00B07EFA"/>
    <w:rsid w:val="00B218BC"/>
    <w:rsid w:val="00B262E7"/>
    <w:rsid w:val="00B30CA1"/>
    <w:rsid w:val="00B43EDF"/>
    <w:rsid w:val="00B53606"/>
    <w:rsid w:val="00B62F61"/>
    <w:rsid w:val="00B62F6E"/>
    <w:rsid w:val="00B66DD4"/>
    <w:rsid w:val="00B81BC1"/>
    <w:rsid w:val="00BD2F5C"/>
    <w:rsid w:val="00BD454B"/>
    <w:rsid w:val="00BD6420"/>
    <w:rsid w:val="00BD7062"/>
    <w:rsid w:val="00BE3C93"/>
    <w:rsid w:val="00BE4DA5"/>
    <w:rsid w:val="00BE67FA"/>
    <w:rsid w:val="00C06CA1"/>
    <w:rsid w:val="00C16744"/>
    <w:rsid w:val="00C53E7A"/>
    <w:rsid w:val="00C55CF7"/>
    <w:rsid w:val="00C62F62"/>
    <w:rsid w:val="00C7707D"/>
    <w:rsid w:val="00C80794"/>
    <w:rsid w:val="00C90F89"/>
    <w:rsid w:val="00CA3180"/>
    <w:rsid w:val="00CB06FE"/>
    <w:rsid w:val="00CD1A98"/>
    <w:rsid w:val="00CD3AF5"/>
    <w:rsid w:val="00CF5AE5"/>
    <w:rsid w:val="00CF7E4E"/>
    <w:rsid w:val="00D112BB"/>
    <w:rsid w:val="00D11A24"/>
    <w:rsid w:val="00D16875"/>
    <w:rsid w:val="00D255B9"/>
    <w:rsid w:val="00D423BF"/>
    <w:rsid w:val="00D4244E"/>
    <w:rsid w:val="00D45B07"/>
    <w:rsid w:val="00D5345E"/>
    <w:rsid w:val="00D5761B"/>
    <w:rsid w:val="00D70E8E"/>
    <w:rsid w:val="00D776B0"/>
    <w:rsid w:val="00D80645"/>
    <w:rsid w:val="00D82B56"/>
    <w:rsid w:val="00D9451F"/>
    <w:rsid w:val="00D96C1D"/>
    <w:rsid w:val="00DA4F48"/>
    <w:rsid w:val="00DB02AA"/>
    <w:rsid w:val="00DE07E7"/>
    <w:rsid w:val="00E003D1"/>
    <w:rsid w:val="00E03943"/>
    <w:rsid w:val="00E25A19"/>
    <w:rsid w:val="00E36091"/>
    <w:rsid w:val="00E56FBF"/>
    <w:rsid w:val="00E728A0"/>
    <w:rsid w:val="00E72C8E"/>
    <w:rsid w:val="00E7327E"/>
    <w:rsid w:val="00E80F5C"/>
    <w:rsid w:val="00E859EF"/>
    <w:rsid w:val="00E91B0A"/>
    <w:rsid w:val="00EA5DB3"/>
    <w:rsid w:val="00EC2767"/>
    <w:rsid w:val="00ED57FC"/>
    <w:rsid w:val="00EE21F2"/>
    <w:rsid w:val="00F01D2B"/>
    <w:rsid w:val="00F043DC"/>
    <w:rsid w:val="00F078DE"/>
    <w:rsid w:val="00F3193F"/>
    <w:rsid w:val="00F42532"/>
    <w:rsid w:val="00F65907"/>
    <w:rsid w:val="00F80142"/>
    <w:rsid w:val="00F8536A"/>
    <w:rsid w:val="00F92DA2"/>
    <w:rsid w:val="00F94DA3"/>
    <w:rsid w:val="00FA2A77"/>
    <w:rsid w:val="00FA780B"/>
    <w:rsid w:val="00FC5042"/>
    <w:rsid w:val="00FD01CE"/>
    <w:rsid w:val="00FD39B6"/>
    <w:rsid w:val="077E7C81"/>
    <w:rsid w:val="08BF0C1D"/>
    <w:rsid w:val="0AEE497D"/>
    <w:rsid w:val="0D1C3D38"/>
    <w:rsid w:val="0E62011B"/>
    <w:rsid w:val="0ECD38CB"/>
    <w:rsid w:val="10E2622C"/>
    <w:rsid w:val="13F6694D"/>
    <w:rsid w:val="18D01A8A"/>
    <w:rsid w:val="19F518A6"/>
    <w:rsid w:val="1B5C3690"/>
    <w:rsid w:val="1B7F4AC0"/>
    <w:rsid w:val="1D6521CC"/>
    <w:rsid w:val="1D8E41E7"/>
    <w:rsid w:val="1D9A07EC"/>
    <w:rsid w:val="225054EE"/>
    <w:rsid w:val="2610789E"/>
    <w:rsid w:val="27261C5F"/>
    <w:rsid w:val="2F084E7A"/>
    <w:rsid w:val="35D501BC"/>
    <w:rsid w:val="395833F6"/>
    <w:rsid w:val="39AD480D"/>
    <w:rsid w:val="3B4C4E1C"/>
    <w:rsid w:val="3D1D4E3F"/>
    <w:rsid w:val="3E283174"/>
    <w:rsid w:val="3E28735A"/>
    <w:rsid w:val="41EC4F0F"/>
    <w:rsid w:val="49415071"/>
    <w:rsid w:val="49D17A6A"/>
    <w:rsid w:val="4B663938"/>
    <w:rsid w:val="4BEE1638"/>
    <w:rsid w:val="4E461B9D"/>
    <w:rsid w:val="4EA529C9"/>
    <w:rsid w:val="4ECD535A"/>
    <w:rsid w:val="558E283B"/>
    <w:rsid w:val="56DC4F88"/>
    <w:rsid w:val="58F1752B"/>
    <w:rsid w:val="5A301B84"/>
    <w:rsid w:val="5E2E19DF"/>
    <w:rsid w:val="60713997"/>
    <w:rsid w:val="641B2C94"/>
    <w:rsid w:val="66A334BD"/>
    <w:rsid w:val="6DF9237F"/>
    <w:rsid w:val="6E33328B"/>
    <w:rsid w:val="706D3EB2"/>
    <w:rsid w:val="72C149F5"/>
    <w:rsid w:val="797F2551"/>
    <w:rsid w:val="7B841DD5"/>
    <w:rsid w:val="7DEB5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40" w:line="360" w:lineRule="auto"/>
      <w:ind w:firstLine="200" w:firstLineChars="200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</w:style>
  <w:style w:type="paragraph" w:styleId="4">
    <w:name w:val="Balloon Text"/>
    <w:basedOn w:val="1"/>
    <w:link w:val="19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numPr>
        <w:ilvl w:val="0"/>
        <w:numId w:val="1"/>
      </w:numPr>
      <w:spacing w:line="312" w:lineRule="auto"/>
      <w:ind w:firstLine="0" w:firstLineChars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32"/>
      <w:szCs w:val="44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eastAsia="宋体" w:cs="Times New Roman"/>
      <w:b/>
      <w:bCs/>
      <w:kern w:val="28"/>
      <w:sz w:val="30"/>
      <w:szCs w:val="32"/>
    </w:rPr>
  </w:style>
  <w:style w:type="character" w:customStyle="1" w:styleId="16">
    <w:name w:val="页眉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/>
    </w:p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文字 Char"/>
    <w:basedOn w:val="11"/>
    <w:link w:val="3"/>
    <w:semiHidden/>
    <w:qFormat/>
    <w:uiPriority w:val="99"/>
    <w:rPr>
      <w:rFonts w:ascii="Calibri" w:hAnsi="Calibri" w:eastAsia="宋体" w:cs="Times New Roman"/>
      <w:sz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Calibri" w:hAnsi="Calibri" w:eastAsia="宋体" w:cs="Times New Roman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2397</Words>
  <Characters>2690</Characters>
  <Lines>21</Lines>
  <Paragraphs>6</Paragraphs>
  <TotalTime>1</TotalTime>
  <ScaleCrop>false</ScaleCrop>
  <LinksUpToDate>false</LinksUpToDate>
  <CharactersWithSpaces>2797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2018-12-14T01:42:00Z</dcterms:created>
  <dc:creator>陈洪章</dc:creator>
  <cp:lastModifiedBy>Gemini</cp:lastModifiedBy>
  <cp:lastPrinted>2023-12-15T09:06:00Z</cp:lastPrinted>
  <dcterms:modified xsi:type="dcterms:W3CDTF">2023-12-19T03:04:23Z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78E62E694AF04491B8C78EDDBD6C4409_13</vt:lpwstr>
  </property>
</Properties>
</file>