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634B" w14:textId="77777777" w:rsidR="00FE07F1" w:rsidRDefault="00F04DD0">
      <w:pPr>
        <w:jc w:val="center"/>
        <w:rPr>
          <w:rFonts w:ascii="Times New Roman" w:eastAsia="微软雅黑" w:hAnsi="Times New Roman" w:cs="Times New Roman"/>
          <w:b/>
          <w:bCs/>
          <w:sz w:val="32"/>
          <w:szCs w:val="32"/>
        </w:rPr>
      </w:pPr>
      <w:bookmarkStart w:id="0" w:name="_Toc444874524"/>
      <w:r>
        <w:rPr>
          <w:rFonts w:ascii="Times New Roman" w:eastAsia="微软雅黑" w:hAnsi="Times New Roman" w:cs="Times New Roman"/>
          <w:b/>
          <w:bCs/>
          <w:sz w:val="32"/>
          <w:szCs w:val="32"/>
        </w:rPr>
        <w:t>化学学院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>2024</w:t>
      </w:r>
      <w:r>
        <w:rPr>
          <w:rFonts w:ascii="Times New Roman" w:eastAsia="微软雅黑" w:hAnsi="Times New Roman" w:cs="Times New Roman"/>
          <w:b/>
          <w:bCs/>
          <w:sz w:val="32"/>
          <w:szCs w:val="32"/>
        </w:rPr>
        <w:t>年本科生转专业实施细则</w:t>
      </w:r>
      <w:bookmarkEnd w:id="0"/>
    </w:p>
    <w:p w14:paraId="4EF0F343" w14:textId="77777777" w:rsidR="00FE07F1" w:rsidRPr="00FE7CB4" w:rsidRDefault="00FE07F1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0CB121F8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bookmarkStart w:id="1" w:name="_Toc444848819"/>
      <w:bookmarkStart w:id="2" w:name="_Toc444871815"/>
      <w:bookmarkStart w:id="3" w:name="_Toc444615425"/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转专业工作领导小组</w:t>
      </w:r>
      <w:bookmarkEnd w:id="1"/>
      <w:bookmarkEnd w:id="2"/>
      <w:bookmarkEnd w:id="3"/>
    </w:p>
    <w:p w14:paraId="0270DC4C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第一条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学院转专业工作领导小组</w:t>
      </w:r>
    </w:p>
    <w:p w14:paraId="3EC001BD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组长：周祚万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李国芳</w:t>
      </w:r>
    </w:p>
    <w:p w14:paraId="670F76FE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成员：王勇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张春燕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崔树勋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 w:hint="eastAsia"/>
          <w:color w:val="000000"/>
          <w:sz w:val="24"/>
        </w:rPr>
        <w:t>王雅雯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彭羽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王萃娟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杨静晖</w:t>
      </w:r>
    </w:p>
    <w:p w14:paraId="5754DC1E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秘书：凌岚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 </w:t>
      </w:r>
    </w:p>
    <w:p w14:paraId="6D8D4FAD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学院转专业实施细则</w:t>
      </w:r>
    </w:p>
    <w:p w14:paraId="61368573" w14:textId="77777777" w:rsidR="00FE07F1" w:rsidRDefault="00F04DD0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第二条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分专业设置</w:t>
      </w:r>
    </w:p>
    <w:p w14:paraId="03AA724F" w14:textId="77777777" w:rsidR="00FE07F1" w:rsidRDefault="00F04DD0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高分子材料与工程专业、化学专业。</w:t>
      </w:r>
    </w:p>
    <w:p w14:paraId="3CEFF8E5" w14:textId="77777777" w:rsidR="00FE07F1" w:rsidRDefault="00F04DD0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第三条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计划录取名额</w:t>
      </w:r>
    </w:p>
    <w:p w14:paraId="5D2C4BDF" w14:textId="53C20468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2024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年化学学院转专业计划录取总人数不超过各专业基数的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10%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。</w:t>
      </w:r>
      <w:r w:rsidR="00C434B1">
        <w:rPr>
          <w:rFonts w:ascii="Times New Roman" w:eastAsia="仿宋" w:hAnsi="Times New Roman" w:cs="Times New Roman" w:hint="eastAsia"/>
          <w:color w:val="000000"/>
          <w:kern w:val="0"/>
          <w:sz w:val="24"/>
          <w:szCs w:val="21"/>
        </w:rPr>
        <w:t>（</w:t>
      </w:r>
      <w:r w:rsidR="00C434B1" w:rsidRPr="00C434B1">
        <w:rPr>
          <w:rFonts w:ascii="Times New Roman" w:eastAsia="仿宋" w:hAnsi="Times New Roman" w:cs="Times New Roman" w:hint="eastAsia"/>
          <w:color w:val="000000"/>
          <w:kern w:val="0"/>
          <w:sz w:val="24"/>
          <w:szCs w:val="21"/>
        </w:rPr>
        <w:t>退役后复学的学生申请转专业不计入录取总名额。</w:t>
      </w:r>
      <w:r w:rsidR="00C434B1">
        <w:rPr>
          <w:rFonts w:ascii="Times New Roman" w:eastAsia="仿宋" w:hAnsi="Times New Roman" w:cs="Times New Roman" w:hint="eastAsia"/>
          <w:color w:val="000000"/>
          <w:kern w:val="0"/>
          <w:sz w:val="24"/>
          <w:szCs w:val="21"/>
        </w:rPr>
        <w:t>）</w:t>
      </w:r>
    </w:p>
    <w:p w14:paraId="07678C52" w14:textId="77777777" w:rsidR="00FE07F1" w:rsidRDefault="00F04DD0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第四条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转专业要求</w:t>
      </w:r>
    </w:p>
    <w:p w14:paraId="2A7EE541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kern w:val="0"/>
          <w:sz w:val="24"/>
          <w:szCs w:val="21"/>
        </w:rPr>
        <w:t>申请学生必须满足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《西南交通大学本科生转专业管理办法》（西</w:t>
      </w:r>
      <w:proofErr w:type="gramStart"/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交校教</w:t>
      </w:r>
      <w:proofErr w:type="gramEnd"/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 xml:space="preserve"> [2019] 126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号）以下简称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办法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转专业相关要求，</w:t>
      </w:r>
      <w:proofErr w:type="gramStart"/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预修并达到</w:t>
      </w:r>
      <w:proofErr w:type="gramEnd"/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化学学院转专业准入课程相关要求，通过大学英语四级考试（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CET-4</w:t>
      </w:r>
      <w:r>
        <w:rPr>
          <w:rFonts w:ascii="Times New Roman" w:eastAsia="仿宋" w:hAnsi="Times New Roman" w:cs="Times New Roman"/>
          <w:bCs/>
          <w:color w:val="000000"/>
          <w:sz w:val="24"/>
          <w:szCs w:val="24"/>
        </w:rPr>
        <w:t>），原则上接收大一、大二本科生。</w:t>
      </w:r>
    </w:p>
    <w:p w14:paraId="612DC2AE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专业准入课程和接收转专业人数</w:t>
      </w:r>
    </w:p>
    <w:p w14:paraId="339285C6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第五条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学院相关专业的准入课程为：</w:t>
      </w:r>
    </w:p>
    <w:p w14:paraId="1722BA60" w14:textId="77777777" w:rsidR="00FE07F1" w:rsidRDefault="00F04DD0">
      <w:pPr>
        <w:adjustRightInd w:val="0"/>
        <w:snapToGrid w:val="0"/>
        <w:spacing w:line="360" w:lineRule="auto"/>
        <w:ind w:firstLineChars="200" w:firstLine="480"/>
        <w:jc w:val="left"/>
        <w:outlineLvl w:val="0"/>
        <w:rPr>
          <w:rFonts w:ascii="Times New Roman" w:eastAsia="仿宋" w:hAnsi="Times New Roman" w:cs="Times New Roman"/>
          <w:bCs/>
          <w:color w:val="000000"/>
          <w:kern w:val="28"/>
          <w:sz w:val="20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1</w:t>
      </w:r>
      <w:r>
        <w:rPr>
          <w:rFonts w:ascii="Times New Roman" w:eastAsia="仿宋" w:hAnsi="Times New Roman" w:cs="Times New Roman"/>
          <w:color w:val="000000"/>
          <w:sz w:val="24"/>
        </w:rPr>
        <w:t>、高分子材料与工程专业准入课程：</w:t>
      </w:r>
    </w:p>
    <w:tbl>
      <w:tblPr>
        <w:tblStyle w:val="a7"/>
        <w:tblW w:w="4866" w:type="pct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0"/>
        <w:gridCol w:w="1712"/>
        <w:gridCol w:w="688"/>
        <w:gridCol w:w="2851"/>
        <w:gridCol w:w="959"/>
        <w:gridCol w:w="1329"/>
      </w:tblGrid>
      <w:tr w:rsidR="00FE07F1" w14:paraId="426542D5" w14:textId="77777777">
        <w:trPr>
          <w:jc w:val="center"/>
        </w:trPr>
        <w:tc>
          <w:tcPr>
            <w:tcW w:w="1485" w:type="pct"/>
            <w:gridSpan w:val="3"/>
            <w:vAlign w:val="center"/>
          </w:tcPr>
          <w:p w14:paraId="2A54A64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课程名称</w:t>
            </w:r>
          </w:p>
        </w:tc>
        <w:tc>
          <w:tcPr>
            <w:tcW w:w="415" w:type="pct"/>
            <w:vAlign w:val="center"/>
          </w:tcPr>
          <w:p w14:paraId="0C7AD9F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课程学分</w:t>
            </w:r>
          </w:p>
        </w:tc>
        <w:tc>
          <w:tcPr>
            <w:tcW w:w="1718" w:type="pct"/>
            <w:vAlign w:val="center"/>
          </w:tcPr>
          <w:p w14:paraId="60099899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课程代码</w:t>
            </w:r>
          </w:p>
        </w:tc>
        <w:tc>
          <w:tcPr>
            <w:tcW w:w="578" w:type="pct"/>
            <w:vAlign w:val="center"/>
          </w:tcPr>
          <w:p w14:paraId="6B300FA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面向</w:t>
            </w:r>
          </w:p>
          <w:p w14:paraId="2DD667D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801" w:type="pct"/>
            <w:vAlign w:val="center"/>
          </w:tcPr>
          <w:p w14:paraId="155A970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备注</w:t>
            </w:r>
          </w:p>
          <w:p w14:paraId="4F607494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（成绩要求）</w:t>
            </w:r>
          </w:p>
        </w:tc>
      </w:tr>
      <w:tr w:rsidR="00FE07F1" w14:paraId="11C9EA44" w14:textId="77777777">
        <w:trPr>
          <w:jc w:val="center"/>
        </w:trPr>
        <w:tc>
          <w:tcPr>
            <w:tcW w:w="1485" w:type="pct"/>
            <w:gridSpan w:val="3"/>
            <w:vAlign w:val="center"/>
          </w:tcPr>
          <w:p w14:paraId="41C1C2E4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= 1 \* GB3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①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高等数学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II</w:t>
            </w:r>
          </w:p>
        </w:tc>
        <w:tc>
          <w:tcPr>
            <w:tcW w:w="415" w:type="pct"/>
            <w:vAlign w:val="center"/>
          </w:tcPr>
          <w:p w14:paraId="415E72A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5+5</w:t>
            </w:r>
          </w:p>
        </w:tc>
        <w:tc>
          <w:tcPr>
            <w:tcW w:w="1718" w:type="pct"/>
            <w:vAlign w:val="center"/>
          </w:tcPr>
          <w:p w14:paraId="5F624C7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MATH000812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MATH011512</w:t>
            </w:r>
          </w:p>
        </w:tc>
        <w:tc>
          <w:tcPr>
            <w:tcW w:w="578" w:type="pct"/>
            <w:vAlign w:val="center"/>
          </w:tcPr>
          <w:p w14:paraId="591D11A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01" w:type="pct"/>
            <w:vAlign w:val="center"/>
          </w:tcPr>
          <w:p w14:paraId="4B3A2C7F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380A504E" w14:textId="77777777">
        <w:trPr>
          <w:jc w:val="center"/>
        </w:trPr>
        <w:tc>
          <w:tcPr>
            <w:tcW w:w="1485" w:type="pct"/>
            <w:gridSpan w:val="3"/>
            <w:vAlign w:val="center"/>
          </w:tcPr>
          <w:p w14:paraId="0A2CFC4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= 2 \* GB3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②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英语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II</w:t>
            </w:r>
          </w:p>
        </w:tc>
        <w:tc>
          <w:tcPr>
            <w:tcW w:w="415" w:type="pct"/>
            <w:vAlign w:val="center"/>
          </w:tcPr>
          <w:p w14:paraId="7AD73E3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2+2</w:t>
            </w:r>
          </w:p>
        </w:tc>
        <w:tc>
          <w:tcPr>
            <w:tcW w:w="1718" w:type="pct"/>
            <w:vAlign w:val="center"/>
          </w:tcPr>
          <w:p w14:paraId="2E7B42B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SoFL001511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</w:p>
          <w:p w14:paraId="49BC1650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SoFL000512</w:t>
            </w:r>
          </w:p>
        </w:tc>
        <w:tc>
          <w:tcPr>
            <w:tcW w:w="578" w:type="pct"/>
            <w:vAlign w:val="center"/>
          </w:tcPr>
          <w:p w14:paraId="4FB0EA1B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01" w:type="pct"/>
            <w:vAlign w:val="center"/>
          </w:tcPr>
          <w:p w14:paraId="5111EEF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09492AC0" w14:textId="77777777">
        <w:trPr>
          <w:trHeight w:val="394"/>
          <w:jc w:val="center"/>
        </w:trPr>
        <w:tc>
          <w:tcPr>
            <w:tcW w:w="454" w:type="pct"/>
            <w:gridSpan w:val="2"/>
            <w:vMerge w:val="restart"/>
            <w:vAlign w:val="center"/>
          </w:tcPr>
          <w:p w14:paraId="7EB7857E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③任选一门</w:t>
            </w:r>
          </w:p>
        </w:tc>
        <w:tc>
          <w:tcPr>
            <w:tcW w:w="1030" w:type="pct"/>
            <w:vAlign w:val="center"/>
          </w:tcPr>
          <w:p w14:paraId="618925B6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415" w:type="pct"/>
            <w:vAlign w:val="center"/>
          </w:tcPr>
          <w:p w14:paraId="6578A98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610CAE41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CHEM000112</w:t>
            </w:r>
          </w:p>
        </w:tc>
        <w:tc>
          <w:tcPr>
            <w:tcW w:w="578" w:type="pct"/>
            <w:vMerge w:val="restart"/>
            <w:vAlign w:val="center"/>
          </w:tcPr>
          <w:p w14:paraId="3E85EA60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一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801" w:type="pct"/>
            <w:vMerge w:val="restart"/>
            <w:vAlign w:val="center"/>
          </w:tcPr>
          <w:p w14:paraId="327D3AE5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77D6D5D2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56F9CD22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483F72D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415" w:type="pct"/>
            <w:vAlign w:val="center"/>
          </w:tcPr>
          <w:p w14:paraId="45253B4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2.5</w:t>
            </w:r>
          </w:p>
        </w:tc>
        <w:tc>
          <w:tcPr>
            <w:tcW w:w="1718" w:type="pct"/>
            <w:vAlign w:val="center"/>
          </w:tcPr>
          <w:p w14:paraId="40601432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CHEM000212</w:t>
            </w:r>
          </w:p>
        </w:tc>
        <w:tc>
          <w:tcPr>
            <w:tcW w:w="578" w:type="pct"/>
            <w:vMerge/>
            <w:vAlign w:val="center"/>
          </w:tcPr>
          <w:p w14:paraId="40F3903D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5AF15857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216F582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07D5DFCA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32F6FDA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</w:t>
            </w:r>
          </w:p>
        </w:tc>
        <w:tc>
          <w:tcPr>
            <w:tcW w:w="415" w:type="pct"/>
            <w:vAlign w:val="center"/>
          </w:tcPr>
          <w:p w14:paraId="486DF57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718" w:type="pct"/>
            <w:vAlign w:val="center"/>
          </w:tcPr>
          <w:p w14:paraId="3D6FA5F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CHEM000312</w:t>
            </w:r>
          </w:p>
        </w:tc>
        <w:tc>
          <w:tcPr>
            <w:tcW w:w="578" w:type="pct"/>
            <w:vMerge/>
            <w:vAlign w:val="center"/>
          </w:tcPr>
          <w:p w14:paraId="7F3F8BC3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43E1A22A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4355B5F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05D54450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61AA5A7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</w:p>
        </w:tc>
        <w:tc>
          <w:tcPr>
            <w:tcW w:w="415" w:type="pct"/>
            <w:vAlign w:val="center"/>
          </w:tcPr>
          <w:p w14:paraId="5F5EA52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718" w:type="pct"/>
            <w:vAlign w:val="center"/>
          </w:tcPr>
          <w:p w14:paraId="4CF1F1E0" w14:textId="77777777" w:rsidR="00FE07F1" w:rsidRDefault="00123CD7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hyperlink r:id="rId7" w:tooltip="点击查询全部代码为ISCT010611课程" w:history="1">
              <w:r w:rsidR="00F04DD0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ISCT010611</w:t>
              </w:r>
            </w:hyperlink>
          </w:p>
        </w:tc>
        <w:tc>
          <w:tcPr>
            <w:tcW w:w="578" w:type="pct"/>
            <w:vMerge/>
            <w:vAlign w:val="center"/>
          </w:tcPr>
          <w:p w14:paraId="78D9071F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38F32DEB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AE5F6A2" w14:textId="77777777">
        <w:trPr>
          <w:trHeight w:val="319"/>
          <w:jc w:val="center"/>
        </w:trPr>
        <w:tc>
          <w:tcPr>
            <w:tcW w:w="454" w:type="pct"/>
            <w:gridSpan w:val="2"/>
            <w:vMerge/>
            <w:vAlign w:val="center"/>
          </w:tcPr>
          <w:p w14:paraId="6DFF44E5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7502E8EB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有机化学基础</w:t>
            </w:r>
          </w:p>
        </w:tc>
        <w:tc>
          <w:tcPr>
            <w:tcW w:w="415" w:type="pct"/>
            <w:vAlign w:val="center"/>
          </w:tcPr>
          <w:p w14:paraId="0BAE769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3F080BAB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MEDI000712</w:t>
            </w:r>
          </w:p>
        </w:tc>
        <w:tc>
          <w:tcPr>
            <w:tcW w:w="578" w:type="pct"/>
            <w:vMerge/>
            <w:vAlign w:val="center"/>
          </w:tcPr>
          <w:p w14:paraId="32B47B4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14:paraId="50EA6307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8F8DB45" w14:textId="77777777">
        <w:trPr>
          <w:trHeight w:val="224"/>
          <w:jc w:val="center"/>
        </w:trPr>
        <w:tc>
          <w:tcPr>
            <w:tcW w:w="1485" w:type="pct"/>
            <w:gridSpan w:val="3"/>
            <w:vAlign w:val="center"/>
          </w:tcPr>
          <w:p w14:paraId="73337EB0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④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415" w:type="pct"/>
            <w:vAlign w:val="center"/>
          </w:tcPr>
          <w:p w14:paraId="19901DF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48DAB2F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MASE001312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/MEDI001012</w:t>
            </w:r>
          </w:p>
        </w:tc>
        <w:tc>
          <w:tcPr>
            <w:tcW w:w="578" w:type="pct"/>
            <w:vAlign w:val="center"/>
          </w:tcPr>
          <w:p w14:paraId="0911BCC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01" w:type="pct"/>
            <w:vAlign w:val="center"/>
          </w:tcPr>
          <w:p w14:paraId="0884C7F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0626E544" w14:textId="77777777">
        <w:trPr>
          <w:jc w:val="center"/>
        </w:trPr>
        <w:tc>
          <w:tcPr>
            <w:tcW w:w="400" w:type="pct"/>
            <w:vMerge w:val="restart"/>
            <w:vAlign w:val="center"/>
          </w:tcPr>
          <w:p w14:paraId="2E00E64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lastRenderedPageBreak/>
              <w:t>⑤任选一门</w:t>
            </w:r>
          </w:p>
        </w:tc>
        <w:tc>
          <w:tcPr>
            <w:tcW w:w="1085" w:type="pct"/>
            <w:gridSpan w:val="2"/>
            <w:vAlign w:val="center"/>
          </w:tcPr>
          <w:p w14:paraId="738EB6B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AI+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AII</w:t>
            </w:r>
          </w:p>
        </w:tc>
        <w:tc>
          <w:tcPr>
            <w:tcW w:w="415" w:type="pct"/>
            <w:vAlign w:val="center"/>
          </w:tcPr>
          <w:p w14:paraId="45054A0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4+3</w:t>
            </w:r>
          </w:p>
        </w:tc>
        <w:tc>
          <w:tcPr>
            <w:tcW w:w="1718" w:type="pct"/>
            <w:vAlign w:val="center"/>
          </w:tcPr>
          <w:p w14:paraId="76F6A30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MASE005712+MASE005812</w:t>
            </w:r>
          </w:p>
        </w:tc>
        <w:tc>
          <w:tcPr>
            <w:tcW w:w="578" w:type="pct"/>
            <w:vAlign w:val="center"/>
          </w:tcPr>
          <w:p w14:paraId="6ED8EFE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01" w:type="pct"/>
            <w:vAlign w:val="center"/>
          </w:tcPr>
          <w:p w14:paraId="137838C7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1B35759F" w14:textId="77777777">
        <w:trPr>
          <w:trHeight w:val="374"/>
          <w:jc w:val="center"/>
        </w:trPr>
        <w:tc>
          <w:tcPr>
            <w:tcW w:w="400" w:type="pct"/>
            <w:vMerge/>
            <w:vAlign w:val="center"/>
          </w:tcPr>
          <w:p w14:paraId="1D36134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3E8F7A9E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415" w:type="pct"/>
            <w:vAlign w:val="center"/>
          </w:tcPr>
          <w:p w14:paraId="215FCCB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718" w:type="pct"/>
            <w:vAlign w:val="center"/>
          </w:tcPr>
          <w:p w14:paraId="733DC06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MEDI007712</w:t>
            </w:r>
          </w:p>
        </w:tc>
        <w:tc>
          <w:tcPr>
            <w:tcW w:w="578" w:type="pct"/>
            <w:vAlign w:val="center"/>
          </w:tcPr>
          <w:p w14:paraId="230C130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01" w:type="pct"/>
            <w:vAlign w:val="center"/>
          </w:tcPr>
          <w:p w14:paraId="2142D015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</w:tbl>
    <w:p w14:paraId="6CEE0CE1" w14:textId="77777777" w:rsidR="00FE07F1" w:rsidRDefault="00F04DD0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2</w:t>
      </w:r>
      <w:r>
        <w:rPr>
          <w:rFonts w:ascii="Times New Roman" w:eastAsia="仿宋" w:hAnsi="Times New Roman" w:cs="Times New Roman"/>
          <w:color w:val="000000"/>
          <w:sz w:val="24"/>
        </w:rPr>
        <w:t>、化学专业准入课程：</w:t>
      </w:r>
    </w:p>
    <w:tbl>
      <w:tblPr>
        <w:tblStyle w:val="a7"/>
        <w:tblW w:w="4906" w:type="pct"/>
        <w:jc w:val="center"/>
        <w:tblLook w:val="04A0" w:firstRow="1" w:lastRow="0" w:firstColumn="1" w:lastColumn="0" w:noHBand="0" w:noVBand="1"/>
      </w:tblPr>
      <w:tblGrid>
        <w:gridCol w:w="432"/>
        <w:gridCol w:w="2008"/>
        <w:gridCol w:w="1128"/>
        <w:gridCol w:w="2428"/>
        <w:gridCol w:w="988"/>
        <w:gridCol w:w="1378"/>
      </w:tblGrid>
      <w:tr w:rsidR="00FE07F1" w14:paraId="7FD717EF" w14:textId="77777777" w:rsidTr="00326857">
        <w:trPr>
          <w:jc w:val="center"/>
        </w:trPr>
        <w:tc>
          <w:tcPr>
            <w:tcW w:w="1457" w:type="pct"/>
            <w:gridSpan w:val="2"/>
            <w:vAlign w:val="center"/>
          </w:tcPr>
          <w:p w14:paraId="037115D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课程名称</w:t>
            </w:r>
          </w:p>
        </w:tc>
        <w:tc>
          <w:tcPr>
            <w:tcW w:w="674" w:type="pct"/>
            <w:vAlign w:val="center"/>
          </w:tcPr>
          <w:p w14:paraId="245EB2F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</w:t>
            </w:r>
          </w:p>
          <w:p w14:paraId="6005795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学分</w:t>
            </w:r>
          </w:p>
        </w:tc>
        <w:tc>
          <w:tcPr>
            <w:tcW w:w="1451" w:type="pct"/>
            <w:vAlign w:val="center"/>
          </w:tcPr>
          <w:p w14:paraId="4D0DBC60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课程代码</w:t>
            </w:r>
          </w:p>
        </w:tc>
        <w:tc>
          <w:tcPr>
            <w:tcW w:w="591" w:type="pct"/>
            <w:vAlign w:val="center"/>
          </w:tcPr>
          <w:p w14:paraId="6CB7FD56" w14:textId="77777777" w:rsidR="00326857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面向</w:t>
            </w:r>
          </w:p>
          <w:p w14:paraId="687AEFC7" w14:textId="7AECE271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824" w:type="pct"/>
            <w:vAlign w:val="center"/>
          </w:tcPr>
          <w:p w14:paraId="6D661240" w14:textId="44A8D429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28"/>
                <w:sz w:val="20"/>
                <w:szCs w:val="24"/>
              </w:rPr>
              <w:t>备注（成绩要求）</w:t>
            </w:r>
          </w:p>
        </w:tc>
      </w:tr>
      <w:tr w:rsidR="00FE07F1" w14:paraId="3EE9609B" w14:textId="77777777" w:rsidTr="00326857">
        <w:trPr>
          <w:jc w:val="center"/>
        </w:trPr>
        <w:tc>
          <w:tcPr>
            <w:tcW w:w="1457" w:type="pct"/>
            <w:gridSpan w:val="2"/>
            <w:vAlign w:val="center"/>
          </w:tcPr>
          <w:p w14:paraId="79BE213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= 1 \* GB3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①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英语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II</w:t>
            </w:r>
          </w:p>
        </w:tc>
        <w:tc>
          <w:tcPr>
            <w:tcW w:w="674" w:type="pct"/>
            <w:vAlign w:val="center"/>
          </w:tcPr>
          <w:p w14:paraId="0E0DECEB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2+2</w:t>
            </w:r>
          </w:p>
        </w:tc>
        <w:tc>
          <w:tcPr>
            <w:tcW w:w="1451" w:type="pct"/>
            <w:vAlign w:val="center"/>
          </w:tcPr>
          <w:p w14:paraId="4746990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SoFL001511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SoFL000512</w:t>
            </w:r>
          </w:p>
        </w:tc>
        <w:tc>
          <w:tcPr>
            <w:tcW w:w="591" w:type="pct"/>
            <w:vAlign w:val="center"/>
          </w:tcPr>
          <w:p w14:paraId="7A6ABC4C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24" w:type="pct"/>
            <w:vAlign w:val="center"/>
          </w:tcPr>
          <w:p w14:paraId="6BC6A65E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721228C9" w14:textId="77777777" w:rsidTr="00326857">
        <w:trPr>
          <w:jc w:val="center"/>
        </w:trPr>
        <w:tc>
          <w:tcPr>
            <w:tcW w:w="258" w:type="pct"/>
            <w:vMerge w:val="restart"/>
            <w:vAlign w:val="center"/>
          </w:tcPr>
          <w:p w14:paraId="1A2BE8E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②任选一门</w:t>
            </w:r>
          </w:p>
        </w:tc>
        <w:tc>
          <w:tcPr>
            <w:tcW w:w="1199" w:type="pct"/>
            <w:vAlign w:val="center"/>
          </w:tcPr>
          <w:p w14:paraId="2192FAE1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1EAF411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451" w:type="pct"/>
            <w:vAlign w:val="center"/>
          </w:tcPr>
          <w:p w14:paraId="4461B1E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CHEM000112</w:t>
            </w:r>
          </w:p>
        </w:tc>
        <w:tc>
          <w:tcPr>
            <w:tcW w:w="591" w:type="pct"/>
            <w:vMerge w:val="restart"/>
            <w:vAlign w:val="center"/>
          </w:tcPr>
          <w:p w14:paraId="72F3BA5E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一年级</w:t>
            </w:r>
          </w:p>
        </w:tc>
        <w:tc>
          <w:tcPr>
            <w:tcW w:w="824" w:type="pct"/>
            <w:vMerge w:val="restart"/>
            <w:vAlign w:val="center"/>
          </w:tcPr>
          <w:p w14:paraId="0B41B039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64925B9C" w14:textId="77777777" w:rsidTr="00326857">
        <w:trPr>
          <w:trHeight w:val="90"/>
          <w:jc w:val="center"/>
        </w:trPr>
        <w:tc>
          <w:tcPr>
            <w:tcW w:w="258" w:type="pct"/>
            <w:vMerge/>
            <w:vAlign w:val="center"/>
          </w:tcPr>
          <w:p w14:paraId="3DB39C0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2E76BAC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674" w:type="pct"/>
            <w:vAlign w:val="center"/>
          </w:tcPr>
          <w:p w14:paraId="1BE90BAA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2.5</w:t>
            </w:r>
          </w:p>
        </w:tc>
        <w:tc>
          <w:tcPr>
            <w:tcW w:w="1451" w:type="pct"/>
            <w:vAlign w:val="center"/>
          </w:tcPr>
          <w:p w14:paraId="56712D4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CHEM000212</w:t>
            </w:r>
          </w:p>
        </w:tc>
        <w:tc>
          <w:tcPr>
            <w:tcW w:w="591" w:type="pct"/>
            <w:vMerge/>
            <w:vAlign w:val="center"/>
          </w:tcPr>
          <w:p w14:paraId="4EE309A8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76F65E73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0A3C1D8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5DD156F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430360F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</w:t>
            </w:r>
          </w:p>
        </w:tc>
        <w:tc>
          <w:tcPr>
            <w:tcW w:w="674" w:type="pct"/>
            <w:vAlign w:val="center"/>
          </w:tcPr>
          <w:p w14:paraId="73AC700C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395367A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CHEM000312</w:t>
            </w:r>
          </w:p>
        </w:tc>
        <w:tc>
          <w:tcPr>
            <w:tcW w:w="591" w:type="pct"/>
            <w:vMerge/>
            <w:vAlign w:val="center"/>
          </w:tcPr>
          <w:p w14:paraId="4FBC7611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0C0A4272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A82D329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25503850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118D1B6D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工程化学</w:t>
            </w:r>
          </w:p>
        </w:tc>
        <w:tc>
          <w:tcPr>
            <w:tcW w:w="674" w:type="pct"/>
            <w:vAlign w:val="center"/>
          </w:tcPr>
          <w:p w14:paraId="6D61D2B7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5CDD9BD2" w14:textId="77777777" w:rsidR="00FE07F1" w:rsidRDefault="00123CD7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hyperlink r:id="rId8" w:tooltip="点击查询全部代码为ISCT010611课程" w:history="1">
              <w:r w:rsidR="00F04DD0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t>ISCT010611</w:t>
              </w:r>
            </w:hyperlink>
          </w:p>
        </w:tc>
        <w:tc>
          <w:tcPr>
            <w:tcW w:w="591" w:type="pct"/>
            <w:vMerge/>
            <w:vAlign w:val="center"/>
          </w:tcPr>
          <w:p w14:paraId="3CAFA7B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39C23548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944E3A1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37EBBB17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9752A1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无机及分析化学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4EDD5C5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4</w:t>
            </w:r>
          </w:p>
        </w:tc>
        <w:tc>
          <w:tcPr>
            <w:tcW w:w="1451" w:type="pct"/>
            <w:vAlign w:val="center"/>
          </w:tcPr>
          <w:p w14:paraId="1D2BA210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CHEM001512</w:t>
            </w:r>
          </w:p>
        </w:tc>
        <w:tc>
          <w:tcPr>
            <w:tcW w:w="591" w:type="pct"/>
            <w:vMerge/>
            <w:vAlign w:val="center"/>
          </w:tcPr>
          <w:p w14:paraId="2DF5055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2BDAF064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3A12DE96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32DD4CEA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6EDC740A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无机及分析化学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BII</w:t>
            </w:r>
          </w:p>
        </w:tc>
        <w:tc>
          <w:tcPr>
            <w:tcW w:w="674" w:type="pct"/>
            <w:vAlign w:val="center"/>
          </w:tcPr>
          <w:p w14:paraId="1A5C84F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6A65CFC5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CHEM000712</w:t>
            </w:r>
          </w:p>
        </w:tc>
        <w:tc>
          <w:tcPr>
            <w:tcW w:w="591" w:type="pct"/>
            <w:vMerge/>
            <w:vAlign w:val="center"/>
          </w:tcPr>
          <w:p w14:paraId="5EE0A2D0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6AD2F521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2D15D67D" w14:textId="77777777" w:rsidTr="00326857">
        <w:trPr>
          <w:jc w:val="center"/>
        </w:trPr>
        <w:tc>
          <w:tcPr>
            <w:tcW w:w="258" w:type="pct"/>
            <w:vMerge w:val="restart"/>
            <w:vAlign w:val="center"/>
          </w:tcPr>
          <w:p w14:paraId="00F1F40B" w14:textId="29B9B830" w:rsidR="00FE07F1" w:rsidRDefault="00326857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instrText>= 3 \* GB3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Times New Roman" w:eastAsia="仿宋" w:hAnsi="Times New Roman" w:cs="Times New Roman" w:hint="eastAsia"/>
                <w:bCs/>
                <w:noProof/>
                <w:color w:val="000000"/>
                <w:kern w:val="28"/>
                <w:sz w:val="20"/>
                <w:szCs w:val="24"/>
              </w:rPr>
              <w:t>③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任选一门</w:t>
            </w:r>
          </w:p>
        </w:tc>
        <w:tc>
          <w:tcPr>
            <w:tcW w:w="1199" w:type="pct"/>
            <w:vAlign w:val="center"/>
          </w:tcPr>
          <w:p w14:paraId="5D2BEB6A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78F31BCB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4.0</w:t>
            </w:r>
          </w:p>
        </w:tc>
        <w:tc>
          <w:tcPr>
            <w:tcW w:w="1451" w:type="pct"/>
            <w:vAlign w:val="center"/>
          </w:tcPr>
          <w:p w14:paraId="217E41B2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CHEM001312</w:t>
            </w:r>
          </w:p>
        </w:tc>
        <w:tc>
          <w:tcPr>
            <w:tcW w:w="591" w:type="pct"/>
            <w:vMerge w:val="restart"/>
            <w:vAlign w:val="center"/>
          </w:tcPr>
          <w:p w14:paraId="03AB0264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24" w:type="pct"/>
            <w:vMerge w:val="restart"/>
            <w:vAlign w:val="center"/>
          </w:tcPr>
          <w:p w14:paraId="528756B2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0C8F3889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39D23B7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514158EB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674" w:type="pct"/>
            <w:vAlign w:val="center"/>
          </w:tcPr>
          <w:p w14:paraId="52FD0AC8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2.0</w:t>
            </w:r>
          </w:p>
        </w:tc>
        <w:tc>
          <w:tcPr>
            <w:tcW w:w="1451" w:type="pct"/>
            <w:vAlign w:val="center"/>
          </w:tcPr>
          <w:p w14:paraId="50938B93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CHEM000412</w:t>
            </w:r>
          </w:p>
        </w:tc>
        <w:tc>
          <w:tcPr>
            <w:tcW w:w="591" w:type="pct"/>
            <w:vMerge/>
            <w:vAlign w:val="center"/>
          </w:tcPr>
          <w:p w14:paraId="475E55FA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09152DEB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C23648F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6D78A108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47C691C3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</w:t>
            </w:r>
          </w:p>
        </w:tc>
        <w:tc>
          <w:tcPr>
            <w:tcW w:w="674" w:type="pct"/>
            <w:vAlign w:val="center"/>
          </w:tcPr>
          <w:p w14:paraId="27D2C85F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3.0</w:t>
            </w:r>
          </w:p>
        </w:tc>
        <w:tc>
          <w:tcPr>
            <w:tcW w:w="1451" w:type="pct"/>
            <w:vAlign w:val="center"/>
          </w:tcPr>
          <w:p w14:paraId="5C5DB8E1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SLSE010012</w:t>
            </w:r>
          </w:p>
        </w:tc>
        <w:tc>
          <w:tcPr>
            <w:tcW w:w="591" w:type="pct"/>
            <w:vMerge/>
            <w:vAlign w:val="center"/>
          </w:tcPr>
          <w:p w14:paraId="128A7DD0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66094184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68916A4D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44D5823D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4DF23227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AII</w:t>
            </w:r>
          </w:p>
        </w:tc>
        <w:tc>
          <w:tcPr>
            <w:tcW w:w="674" w:type="pct"/>
            <w:vAlign w:val="center"/>
          </w:tcPr>
          <w:p w14:paraId="5F7AF3C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3.0</w:t>
            </w:r>
          </w:p>
        </w:tc>
        <w:tc>
          <w:tcPr>
            <w:tcW w:w="1451" w:type="pct"/>
            <w:vAlign w:val="center"/>
          </w:tcPr>
          <w:p w14:paraId="0AE6416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SLSE010112</w:t>
            </w:r>
          </w:p>
        </w:tc>
        <w:tc>
          <w:tcPr>
            <w:tcW w:w="591" w:type="pct"/>
            <w:vMerge/>
            <w:vAlign w:val="center"/>
          </w:tcPr>
          <w:p w14:paraId="3E67E3C9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329A67EB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00919738" w14:textId="77777777" w:rsidTr="00326857">
        <w:trPr>
          <w:jc w:val="center"/>
        </w:trPr>
        <w:tc>
          <w:tcPr>
            <w:tcW w:w="258" w:type="pct"/>
            <w:vMerge/>
            <w:vAlign w:val="center"/>
          </w:tcPr>
          <w:p w14:paraId="2DA7F433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F501568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BI</w:t>
            </w:r>
          </w:p>
        </w:tc>
        <w:tc>
          <w:tcPr>
            <w:tcW w:w="1128" w:type="dxa"/>
            <w:vAlign w:val="center"/>
          </w:tcPr>
          <w:p w14:paraId="5E51F831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2.0</w:t>
            </w:r>
          </w:p>
        </w:tc>
        <w:tc>
          <w:tcPr>
            <w:tcW w:w="2428" w:type="dxa"/>
            <w:vAlign w:val="center"/>
          </w:tcPr>
          <w:p w14:paraId="09AB5F9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SLSE002712</w:t>
            </w:r>
          </w:p>
        </w:tc>
        <w:tc>
          <w:tcPr>
            <w:tcW w:w="591" w:type="pct"/>
            <w:vMerge/>
            <w:vAlign w:val="center"/>
          </w:tcPr>
          <w:p w14:paraId="0E7F245C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3EA2A49B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1527B99" w14:textId="77777777" w:rsidTr="00326857">
        <w:trPr>
          <w:trHeight w:val="90"/>
          <w:jc w:val="center"/>
        </w:trPr>
        <w:tc>
          <w:tcPr>
            <w:tcW w:w="258" w:type="pct"/>
            <w:vMerge/>
            <w:vAlign w:val="center"/>
          </w:tcPr>
          <w:p w14:paraId="6C62E8B4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2986256C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BII</w:t>
            </w:r>
          </w:p>
        </w:tc>
        <w:tc>
          <w:tcPr>
            <w:tcW w:w="674" w:type="pct"/>
            <w:vAlign w:val="center"/>
          </w:tcPr>
          <w:p w14:paraId="1A567222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2.0</w:t>
            </w:r>
          </w:p>
        </w:tc>
        <w:tc>
          <w:tcPr>
            <w:tcW w:w="1451" w:type="pct"/>
            <w:vAlign w:val="center"/>
          </w:tcPr>
          <w:p w14:paraId="01654A4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SLSE002812</w:t>
            </w:r>
          </w:p>
        </w:tc>
        <w:tc>
          <w:tcPr>
            <w:tcW w:w="591" w:type="pct"/>
            <w:vMerge/>
            <w:vAlign w:val="center"/>
          </w:tcPr>
          <w:p w14:paraId="25DF9462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0D4C407C" w14:textId="77777777" w:rsidR="00FE07F1" w:rsidRDefault="00FE07F1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宋体"/>
                <w:bCs/>
                <w:color w:val="000000"/>
                <w:kern w:val="28"/>
                <w:sz w:val="20"/>
                <w:szCs w:val="24"/>
              </w:rPr>
            </w:pPr>
          </w:p>
        </w:tc>
      </w:tr>
      <w:tr w:rsidR="00FE07F1" w14:paraId="4B20677E" w14:textId="77777777" w:rsidTr="00326857">
        <w:trPr>
          <w:trHeight w:val="1039"/>
          <w:jc w:val="center"/>
        </w:trPr>
        <w:tc>
          <w:tcPr>
            <w:tcW w:w="258" w:type="pct"/>
            <w:vMerge w:val="restart"/>
            <w:vAlign w:val="center"/>
          </w:tcPr>
          <w:p w14:paraId="145C74AA" w14:textId="6A07B49D" w:rsidR="00FE07F1" w:rsidRDefault="00326857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begin"/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instrText>= 4 \* GB3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instrText xml:space="preserve"> </w:instrTex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separate"/>
            </w:r>
            <w:r>
              <w:rPr>
                <w:rFonts w:ascii="Times New Roman" w:eastAsia="仿宋" w:hAnsi="Times New Roman" w:cs="Times New Roman" w:hint="eastAsia"/>
                <w:bCs/>
                <w:noProof/>
                <w:color w:val="000000"/>
                <w:kern w:val="28"/>
                <w:sz w:val="20"/>
                <w:szCs w:val="24"/>
              </w:rPr>
              <w:t>④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fldChar w:fldCharType="end"/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任选一门</w:t>
            </w:r>
          </w:p>
        </w:tc>
        <w:tc>
          <w:tcPr>
            <w:tcW w:w="1199" w:type="pct"/>
            <w:vAlign w:val="center"/>
          </w:tcPr>
          <w:p w14:paraId="39F451E9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A</w:t>
            </w:r>
          </w:p>
        </w:tc>
        <w:tc>
          <w:tcPr>
            <w:tcW w:w="674" w:type="pct"/>
            <w:vAlign w:val="center"/>
          </w:tcPr>
          <w:p w14:paraId="6CF71B4D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451" w:type="pct"/>
            <w:vAlign w:val="center"/>
          </w:tcPr>
          <w:p w14:paraId="5EDF59F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 xml:space="preserve">CHEM002312 </w:t>
            </w:r>
          </w:p>
        </w:tc>
        <w:tc>
          <w:tcPr>
            <w:tcW w:w="591" w:type="pct"/>
            <w:vMerge w:val="restart"/>
            <w:vAlign w:val="center"/>
          </w:tcPr>
          <w:p w14:paraId="398C83BF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824" w:type="pct"/>
            <w:vMerge w:val="restart"/>
            <w:vAlign w:val="center"/>
          </w:tcPr>
          <w:p w14:paraId="5EA716BE" w14:textId="77777777" w:rsidR="00FE07F1" w:rsidRDefault="00F04DD0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28"/>
                <w:sz w:val="20"/>
                <w:szCs w:val="24"/>
              </w:rPr>
              <w:t>≧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75</w:t>
            </w:r>
          </w:p>
        </w:tc>
      </w:tr>
      <w:tr w:rsidR="00FE07F1" w14:paraId="51680B9B" w14:textId="77777777" w:rsidTr="00326857">
        <w:trPr>
          <w:trHeight w:val="796"/>
          <w:jc w:val="center"/>
        </w:trPr>
        <w:tc>
          <w:tcPr>
            <w:tcW w:w="258" w:type="pct"/>
            <w:vMerge/>
            <w:vAlign w:val="center"/>
          </w:tcPr>
          <w:p w14:paraId="352F18E7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</w:pPr>
          </w:p>
        </w:tc>
        <w:tc>
          <w:tcPr>
            <w:tcW w:w="1199" w:type="pct"/>
            <w:vAlign w:val="center"/>
          </w:tcPr>
          <w:p w14:paraId="6ADB1E5F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B</w:t>
            </w:r>
          </w:p>
        </w:tc>
        <w:tc>
          <w:tcPr>
            <w:tcW w:w="674" w:type="pct"/>
            <w:vAlign w:val="center"/>
          </w:tcPr>
          <w:p w14:paraId="73291526" w14:textId="77777777" w:rsidR="00FE07F1" w:rsidRDefault="00F04DD0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2</w:t>
            </w:r>
          </w:p>
        </w:tc>
        <w:tc>
          <w:tcPr>
            <w:tcW w:w="1451" w:type="pct"/>
            <w:vAlign w:val="center"/>
          </w:tcPr>
          <w:p w14:paraId="0A1D4FB7" w14:textId="77777777" w:rsidR="00FE07F1" w:rsidRDefault="00F04DD0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28"/>
                <w:sz w:val="20"/>
                <w:szCs w:val="24"/>
              </w:rPr>
              <w:t>CHEM001112</w:t>
            </w:r>
          </w:p>
        </w:tc>
        <w:tc>
          <w:tcPr>
            <w:tcW w:w="591" w:type="pct"/>
            <w:vMerge/>
            <w:vAlign w:val="center"/>
          </w:tcPr>
          <w:p w14:paraId="2187CB2A" w14:textId="77777777" w:rsidR="00FE07F1" w:rsidRDefault="00FE07F1" w:rsidP="00326857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14:paraId="7189E01F" w14:textId="77777777" w:rsidR="00FE07F1" w:rsidRDefault="00FE07F1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eastAsia="仿宋" w:hAnsi="Times New Roman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</w:tr>
    </w:tbl>
    <w:p w14:paraId="1F922D60" w14:textId="0592801B" w:rsidR="00FE07F1" w:rsidRPr="00326857" w:rsidRDefault="00F04DD0" w:rsidP="00326857">
      <w:pPr>
        <w:spacing w:line="276" w:lineRule="auto"/>
        <w:rPr>
          <w:rFonts w:ascii="Times New Roman" w:eastAsia="仿宋" w:hAnsi="Times New Roman" w:cs="Times New Roman"/>
          <w:color w:val="000000"/>
          <w:szCs w:val="21"/>
        </w:rPr>
      </w:pPr>
      <w:r w:rsidRPr="00326857">
        <w:rPr>
          <w:rFonts w:ascii="Times New Roman" w:eastAsia="仿宋" w:hAnsi="Times New Roman" w:cs="Times New Roman"/>
          <w:color w:val="000000"/>
          <w:szCs w:val="21"/>
        </w:rPr>
        <w:t>注：学生转专业的时间为第一学年结束或第二学年结束。一年级的本科生转专业必须修完备注中标注为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“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一年级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”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的准入课程</w:t>
      </w:r>
      <w:r w:rsidR="00326857" w:rsidRPr="00326857">
        <w:rPr>
          <w:rFonts w:ascii="Times New Roman" w:eastAsia="仿宋" w:hAnsi="Times New Roman" w:cs="Times New Roman" w:hint="eastAsia"/>
          <w:color w:val="000000"/>
          <w:szCs w:val="21"/>
        </w:rPr>
        <w:t>，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二年级的本科生转专业必须修完备注中标注为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“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一年级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”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、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“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二年级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”</w:t>
      </w:r>
      <w:r w:rsidRPr="00326857">
        <w:rPr>
          <w:rFonts w:ascii="Times New Roman" w:eastAsia="仿宋" w:hAnsi="Times New Roman" w:cs="Times New Roman"/>
          <w:color w:val="000000"/>
          <w:szCs w:val="21"/>
        </w:rPr>
        <w:t>的所有准入课程</w:t>
      </w:r>
      <w:r w:rsidRPr="00326857">
        <w:rPr>
          <w:rFonts w:ascii="Times New Roman" w:eastAsia="仿宋" w:hAnsi="Times New Roman" w:cs="Times New Roman" w:hint="eastAsia"/>
          <w:color w:val="000000"/>
          <w:szCs w:val="21"/>
        </w:rPr>
        <w:t>。</w:t>
      </w:r>
    </w:p>
    <w:p w14:paraId="45E37D36" w14:textId="77777777" w:rsidR="00FE07F1" w:rsidRDefault="00FE07F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43476971" w14:textId="3F5B3FB1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第六条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学院各专业接收转入学生的人数，以该专业相同年级在读学生的</w:t>
      </w:r>
      <w:r>
        <w:rPr>
          <w:rFonts w:ascii="Times New Roman" w:eastAsia="仿宋" w:hAnsi="Times New Roman" w:cs="Times New Roman"/>
          <w:color w:val="000000"/>
          <w:sz w:val="24"/>
        </w:rPr>
        <w:t>10%</w:t>
      </w:r>
      <w:r>
        <w:rPr>
          <w:rFonts w:ascii="Times New Roman" w:eastAsia="仿宋" w:hAnsi="Times New Roman" w:cs="Times New Roman"/>
          <w:color w:val="000000"/>
          <w:sz w:val="24"/>
        </w:rPr>
        <w:t>为最高比例，并取整人数。</w:t>
      </w:r>
    </w:p>
    <w:p w14:paraId="2AA74B4F" w14:textId="77777777" w:rsidR="00FE7CB4" w:rsidRDefault="00FE7CB4">
      <w:pPr>
        <w:spacing w:line="360" w:lineRule="auto"/>
        <w:rPr>
          <w:rFonts w:ascii="Times New Roman" w:eastAsia="仿宋" w:hAnsi="Times New Roman" w:cs="Times New Roman" w:hint="eastAsia"/>
          <w:color w:val="000000"/>
          <w:sz w:val="24"/>
        </w:rPr>
      </w:pPr>
    </w:p>
    <w:p w14:paraId="25A4F250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转专业考核实施办法</w:t>
      </w:r>
    </w:p>
    <w:p w14:paraId="43F0ADDF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第七条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考核办法</w:t>
      </w:r>
    </w:p>
    <w:p w14:paraId="034B1071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计算第一学年</w:t>
      </w:r>
      <w:r>
        <w:rPr>
          <w:rFonts w:ascii="Times New Roman" w:eastAsia="仿宋" w:hAnsi="Times New Roman" w:cs="Times New Roman"/>
          <w:color w:val="000000"/>
          <w:sz w:val="24"/>
        </w:rPr>
        <w:t>/</w:t>
      </w:r>
      <w:r>
        <w:rPr>
          <w:rFonts w:ascii="Times New Roman" w:eastAsia="仿宋" w:hAnsi="Times New Roman" w:cs="Times New Roman"/>
          <w:color w:val="000000"/>
          <w:sz w:val="24"/>
        </w:rPr>
        <w:t>前两学年全部必修课总成绩专业排名、专业准入课程成绩、</w:t>
      </w:r>
      <w:r>
        <w:rPr>
          <w:rFonts w:ascii="Times New Roman" w:eastAsia="仿宋" w:hAnsi="Times New Roman" w:cs="Times New Roman"/>
          <w:color w:val="000000"/>
          <w:sz w:val="24"/>
        </w:rPr>
        <w:lastRenderedPageBreak/>
        <w:t>英语四级成绩、专家组面试成绩综合评价。</w:t>
      </w:r>
      <w:r>
        <w:rPr>
          <w:rFonts w:ascii="Times New Roman" w:eastAsia="仿宋" w:hAnsi="Times New Roman" w:cs="Times New Roman" w:hint="eastAsia"/>
          <w:b/>
          <w:bCs/>
          <w:color w:val="0000FF"/>
          <w:sz w:val="24"/>
        </w:rPr>
        <w:t>根据综合评定成绩择优录取。</w:t>
      </w:r>
    </w:p>
    <w:p w14:paraId="71C27D04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第八条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下列情况将不予进入面试考核</w:t>
      </w:r>
    </w:p>
    <w:p w14:paraId="4D42E49C" w14:textId="77777777" w:rsidR="00FE07F1" w:rsidRDefault="00F04DD0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有课程不及格者。</w:t>
      </w:r>
    </w:p>
    <w:p w14:paraId="1A4923A5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转专业流程</w:t>
      </w:r>
    </w:p>
    <w:p w14:paraId="02E924CC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第九条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转出学生按照《办法》规定流程执行；转入本学院学生，按照学校规定流程提出申请，学院</w:t>
      </w:r>
      <w:proofErr w:type="gramStart"/>
      <w:r>
        <w:rPr>
          <w:rFonts w:ascii="Times New Roman" w:eastAsia="仿宋" w:hAnsi="Times New Roman" w:cs="Times New Roman"/>
          <w:color w:val="000000"/>
          <w:sz w:val="24"/>
        </w:rPr>
        <w:t>由转专业</w:t>
      </w:r>
      <w:proofErr w:type="gramEnd"/>
      <w:r>
        <w:rPr>
          <w:rFonts w:ascii="Times New Roman" w:eastAsia="仿宋" w:hAnsi="Times New Roman" w:cs="Times New Roman"/>
          <w:color w:val="000000"/>
          <w:sz w:val="24"/>
        </w:rPr>
        <w:t>领导小组组织开展工作，分专业进行考核，提出拟同意转入学生名单与排序，最后经学院转专业领导小组讨论决定接收转专业（转入）学生名单，并在学院网站公示，公示期满，上报学校。</w:t>
      </w:r>
    </w:p>
    <w:p w14:paraId="45354DE5" w14:textId="77777777" w:rsidR="00FE07F1" w:rsidRDefault="00F04DD0">
      <w:pPr>
        <w:numPr>
          <w:ilvl w:val="0"/>
          <w:numId w:val="1"/>
        </w:numPr>
        <w:spacing w:line="360" w:lineRule="auto"/>
        <w:ind w:left="0" w:firstLineChars="47" w:firstLine="132"/>
        <w:jc w:val="left"/>
        <w:outlineLvl w:val="1"/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color w:val="000000"/>
          <w:kern w:val="28"/>
          <w:sz w:val="28"/>
          <w:szCs w:val="28"/>
        </w:rPr>
        <w:t>其他</w:t>
      </w:r>
    </w:p>
    <w:p w14:paraId="28FA3558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第十条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转入学生按照转入专业的培养计划执行，学习成绩认定与课程替代按照《办法》执行。</w:t>
      </w:r>
    </w:p>
    <w:p w14:paraId="21DD31B5" w14:textId="77777777" w:rsidR="00FE07F1" w:rsidRDefault="00F04DD0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第十一条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24"/>
        </w:rPr>
        <w:t>转专业工作咨询，每周一至周五</w:t>
      </w:r>
      <w:proofErr w:type="gramStart"/>
      <w:r>
        <w:rPr>
          <w:rFonts w:ascii="Times New Roman" w:eastAsia="仿宋" w:hAnsi="Times New Roman" w:cs="Times New Roman"/>
          <w:color w:val="000000"/>
          <w:sz w:val="24"/>
        </w:rPr>
        <w:t>犀</w:t>
      </w:r>
      <w:proofErr w:type="gramEnd"/>
      <w:r>
        <w:rPr>
          <w:rFonts w:ascii="Times New Roman" w:eastAsia="仿宋" w:hAnsi="Times New Roman" w:cs="Times New Roman"/>
          <w:color w:val="000000"/>
          <w:sz w:val="24"/>
        </w:rPr>
        <w:t>浦</w:t>
      </w:r>
      <w:r>
        <w:rPr>
          <w:rFonts w:ascii="Times New Roman" w:eastAsia="仿宋" w:hAnsi="Times New Roman" w:cs="Times New Roman"/>
          <w:color w:val="000000"/>
          <w:sz w:val="24"/>
        </w:rPr>
        <w:t>X2413B</w:t>
      </w:r>
      <w:r>
        <w:rPr>
          <w:rFonts w:ascii="Times New Roman" w:eastAsia="仿宋" w:hAnsi="Times New Roman" w:cs="Times New Roman"/>
          <w:color w:val="000000"/>
          <w:sz w:val="24"/>
        </w:rPr>
        <w:t>办公室（电话：</w:t>
      </w:r>
      <w:r>
        <w:rPr>
          <w:rFonts w:ascii="Times New Roman" w:eastAsia="仿宋" w:hAnsi="Times New Roman" w:cs="Times New Roman"/>
          <w:color w:val="000000"/>
          <w:sz w:val="24"/>
        </w:rPr>
        <w:t>66368298</w:t>
      </w:r>
      <w:r>
        <w:rPr>
          <w:rFonts w:ascii="Times New Roman" w:eastAsia="仿宋" w:hAnsi="Times New Roman" w:cs="Times New Roman"/>
          <w:color w:val="000000"/>
          <w:sz w:val="24"/>
        </w:rPr>
        <w:t>）。</w:t>
      </w:r>
    </w:p>
    <w:p w14:paraId="3DC8C432" w14:textId="12E15B68" w:rsidR="00FE07F1" w:rsidRDefault="00B01DC8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7D029DC1" wp14:editId="04F26799">
            <wp:simplePos x="0" y="0"/>
            <wp:positionH relativeFrom="column">
              <wp:posOffset>4739209</wp:posOffset>
            </wp:positionH>
            <wp:positionV relativeFrom="paragraph">
              <wp:posOffset>814334</wp:posOffset>
            </wp:positionV>
            <wp:extent cx="1057910" cy="715645"/>
            <wp:effectExtent l="0" t="0" r="889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ea67ea3bac234e12333108b3ef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D0">
        <w:rPr>
          <w:rFonts w:ascii="Times New Roman" w:eastAsia="仿宋" w:hAnsi="Times New Roman" w:cs="Times New Roman"/>
          <w:color w:val="000000"/>
          <w:sz w:val="24"/>
        </w:rPr>
        <w:t>第十二条</w:t>
      </w:r>
      <w:r w:rsidR="00F04DD0">
        <w:rPr>
          <w:rFonts w:ascii="Times New Roman" w:eastAsia="仿宋" w:hAnsi="Times New Roman" w:cs="Times New Roman"/>
          <w:color w:val="000000"/>
          <w:sz w:val="24"/>
        </w:rPr>
        <w:t xml:space="preserve"> </w:t>
      </w:r>
      <w:r w:rsidR="00F04DD0">
        <w:rPr>
          <w:rFonts w:ascii="Times New Roman" w:eastAsia="仿宋" w:hAnsi="Times New Roman" w:cs="Times New Roman"/>
          <w:color w:val="000000"/>
          <w:sz w:val="24"/>
        </w:rPr>
        <w:t>转专业工作接受全校学生和老师的监督，对于转专业过程中存在的问题，可以直接向学院转专业领导小组反映，也可以直接向学校或学院纪检部门反映。</w:t>
      </w:r>
    </w:p>
    <w:p w14:paraId="5A1B8B07" w14:textId="2D4388BC" w:rsidR="00FE07F1" w:rsidRDefault="00FE07F1">
      <w:pPr>
        <w:spacing w:line="360" w:lineRule="auto"/>
        <w:rPr>
          <w:rFonts w:ascii="Times New Roman" w:eastAsia="仿宋" w:hAnsi="Times New Roman" w:cs="Times New Roman"/>
          <w:color w:val="000000"/>
          <w:sz w:val="24"/>
        </w:rPr>
      </w:pPr>
    </w:p>
    <w:p w14:paraId="6DB175B7" w14:textId="049F1CF8" w:rsidR="00FE07F1" w:rsidRDefault="00F04DD0" w:rsidP="00B01DC8">
      <w:pPr>
        <w:spacing w:line="360" w:lineRule="auto"/>
        <w:ind w:right="960" w:firstLineChars="2000" w:firstLine="4800"/>
        <w:jc w:val="right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/>
          <w:color w:val="000000"/>
          <w:sz w:val="24"/>
        </w:rPr>
        <w:t>化学学院</w:t>
      </w:r>
    </w:p>
    <w:p w14:paraId="4BFDD614" w14:textId="363302E4" w:rsidR="00FE07F1" w:rsidRDefault="00F04DD0" w:rsidP="00B01DC8">
      <w:pPr>
        <w:spacing w:line="360" w:lineRule="auto"/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000000"/>
          <w:sz w:val="24"/>
        </w:rPr>
        <w:t xml:space="preserve">         </w:t>
      </w:r>
      <w:r w:rsidR="00B01DC8">
        <w:rPr>
          <w:rFonts w:ascii="Times New Roman" w:eastAsia="仿宋" w:hAnsi="Times New Roman" w:cs="Times New Roman"/>
          <w:color w:val="000000"/>
          <w:sz w:val="24"/>
        </w:rPr>
        <w:t xml:space="preserve">                         </w:t>
      </w:r>
      <w:r w:rsidR="00B01DC8">
        <w:rPr>
          <w:rFonts w:ascii="Times New Roman" w:eastAsia="仿宋" w:hAnsi="Times New Roman" w:cs="Times New Roman" w:hint="eastAsia"/>
          <w:color w:val="000000"/>
          <w:sz w:val="24"/>
        </w:rPr>
        <w:t xml:space="preserve">              </w:t>
      </w:r>
      <w:r>
        <w:rPr>
          <w:rFonts w:ascii="Times New Roman" w:eastAsia="仿宋" w:hAnsi="Times New Roman" w:cs="Times New Roman"/>
          <w:color w:val="000000"/>
          <w:sz w:val="24"/>
        </w:rPr>
        <w:t xml:space="preserve"> 2023</w:t>
      </w:r>
      <w:r>
        <w:rPr>
          <w:rFonts w:ascii="Times New Roman" w:eastAsia="仿宋" w:hAnsi="Times New Roman" w:cs="Times New Roman"/>
          <w:color w:val="000000"/>
          <w:sz w:val="24"/>
        </w:rPr>
        <w:t>年</w:t>
      </w:r>
      <w:r>
        <w:rPr>
          <w:rFonts w:ascii="Times New Roman" w:eastAsia="仿宋" w:hAnsi="Times New Roman" w:cs="Times New Roman"/>
          <w:color w:val="000000"/>
          <w:sz w:val="24"/>
        </w:rPr>
        <w:t>12</w:t>
      </w:r>
      <w:r>
        <w:rPr>
          <w:rFonts w:ascii="Times New Roman" w:eastAsia="仿宋" w:hAnsi="Times New Roman" w:cs="Times New Roman"/>
          <w:color w:val="000000"/>
          <w:sz w:val="24"/>
        </w:rPr>
        <w:t>月</w:t>
      </w:r>
      <w:r>
        <w:rPr>
          <w:rFonts w:ascii="Times New Roman" w:eastAsia="仿宋" w:hAnsi="Times New Roman" w:cs="Times New Roman" w:hint="eastAsia"/>
          <w:color w:val="000000"/>
          <w:sz w:val="24"/>
        </w:rPr>
        <w:t>20</w:t>
      </w:r>
      <w:r>
        <w:rPr>
          <w:rFonts w:ascii="Times New Roman" w:eastAsia="仿宋" w:hAnsi="Times New Roman" w:cs="Times New Roman"/>
          <w:color w:val="000000"/>
          <w:sz w:val="24"/>
        </w:rPr>
        <w:t>日</w:t>
      </w:r>
    </w:p>
    <w:p w14:paraId="640AACFB" w14:textId="77777777" w:rsidR="00FE07F1" w:rsidRDefault="00FE07F1"/>
    <w:p w14:paraId="089B12B9" w14:textId="77777777" w:rsidR="00FE07F1" w:rsidRDefault="00FE07F1"/>
    <w:sectPr w:rsidR="00FE07F1" w:rsidSect="00FE7CB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9EBB" w14:textId="77777777" w:rsidR="00123CD7" w:rsidRDefault="00123CD7" w:rsidP="00326857">
      <w:r>
        <w:separator/>
      </w:r>
    </w:p>
  </w:endnote>
  <w:endnote w:type="continuationSeparator" w:id="0">
    <w:p w14:paraId="1CA527E9" w14:textId="77777777" w:rsidR="00123CD7" w:rsidRDefault="00123CD7" w:rsidP="003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1AB7" w14:textId="77777777" w:rsidR="00123CD7" w:rsidRDefault="00123CD7" w:rsidP="00326857">
      <w:r>
        <w:separator/>
      </w:r>
    </w:p>
  </w:footnote>
  <w:footnote w:type="continuationSeparator" w:id="0">
    <w:p w14:paraId="4DF30D62" w14:textId="77777777" w:rsidR="00123CD7" w:rsidRDefault="00123CD7" w:rsidP="0032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2C5C"/>
    <w:multiLevelType w:val="multilevel"/>
    <w:tmpl w:val="7C702C5C"/>
    <w:lvl w:ilvl="0">
      <w:start w:val="1"/>
      <w:numFmt w:val="japaneseCounting"/>
      <w:lvlText w:val="%1、"/>
      <w:lvlJc w:val="left"/>
      <w:pPr>
        <w:ind w:left="8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1" w:hanging="420"/>
      </w:pPr>
    </w:lvl>
    <w:lvl w:ilvl="2">
      <w:start w:val="1"/>
      <w:numFmt w:val="lowerRoman"/>
      <w:lvlText w:val="%3."/>
      <w:lvlJc w:val="right"/>
      <w:pPr>
        <w:ind w:left="1411" w:hanging="420"/>
      </w:pPr>
    </w:lvl>
    <w:lvl w:ilvl="3">
      <w:start w:val="1"/>
      <w:numFmt w:val="decimal"/>
      <w:lvlText w:val="%4."/>
      <w:lvlJc w:val="left"/>
      <w:pPr>
        <w:ind w:left="1831" w:hanging="420"/>
      </w:pPr>
    </w:lvl>
    <w:lvl w:ilvl="4">
      <w:start w:val="1"/>
      <w:numFmt w:val="lowerLetter"/>
      <w:lvlText w:val="%5)"/>
      <w:lvlJc w:val="left"/>
      <w:pPr>
        <w:ind w:left="2251" w:hanging="420"/>
      </w:pPr>
    </w:lvl>
    <w:lvl w:ilvl="5">
      <w:start w:val="1"/>
      <w:numFmt w:val="lowerRoman"/>
      <w:lvlText w:val="%6."/>
      <w:lvlJc w:val="right"/>
      <w:pPr>
        <w:ind w:left="2671" w:hanging="420"/>
      </w:pPr>
    </w:lvl>
    <w:lvl w:ilvl="6">
      <w:start w:val="1"/>
      <w:numFmt w:val="decimal"/>
      <w:lvlText w:val="%7."/>
      <w:lvlJc w:val="left"/>
      <w:pPr>
        <w:ind w:left="3091" w:hanging="420"/>
      </w:pPr>
    </w:lvl>
    <w:lvl w:ilvl="7">
      <w:start w:val="1"/>
      <w:numFmt w:val="lowerLetter"/>
      <w:lvlText w:val="%8)"/>
      <w:lvlJc w:val="left"/>
      <w:pPr>
        <w:ind w:left="3511" w:hanging="420"/>
      </w:pPr>
    </w:lvl>
    <w:lvl w:ilvl="8">
      <w:start w:val="1"/>
      <w:numFmt w:val="lowerRoman"/>
      <w:lvlText w:val="%9."/>
      <w:lvlJc w:val="right"/>
      <w:pPr>
        <w:ind w:left="39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dkNTlhYTY4NTQxZWIyZmIxYTZlYTFkZjYxYjg2ZTIifQ=="/>
  </w:docVars>
  <w:rsids>
    <w:rsidRoot w:val="00FB5318"/>
    <w:rsid w:val="00123CD7"/>
    <w:rsid w:val="00253522"/>
    <w:rsid w:val="002A1F2D"/>
    <w:rsid w:val="002B4AD6"/>
    <w:rsid w:val="002E3424"/>
    <w:rsid w:val="002F5EA4"/>
    <w:rsid w:val="00326857"/>
    <w:rsid w:val="00441FB8"/>
    <w:rsid w:val="00542418"/>
    <w:rsid w:val="00680B15"/>
    <w:rsid w:val="00740A1D"/>
    <w:rsid w:val="007A03DF"/>
    <w:rsid w:val="007C1454"/>
    <w:rsid w:val="00AC354E"/>
    <w:rsid w:val="00B01DC8"/>
    <w:rsid w:val="00BC7FEA"/>
    <w:rsid w:val="00C25B82"/>
    <w:rsid w:val="00C434B1"/>
    <w:rsid w:val="00CE6198"/>
    <w:rsid w:val="00D9284E"/>
    <w:rsid w:val="00F02833"/>
    <w:rsid w:val="00F04DD0"/>
    <w:rsid w:val="00FA7543"/>
    <w:rsid w:val="00FB5318"/>
    <w:rsid w:val="00FE07F1"/>
    <w:rsid w:val="00FE0854"/>
    <w:rsid w:val="00FE7CB4"/>
    <w:rsid w:val="14EA645D"/>
    <w:rsid w:val="297521AB"/>
    <w:rsid w:val="357C7356"/>
    <w:rsid w:val="428709F3"/>
    <w:rsid w:val="42F76469"/>
    <w:rsid w:val="480D586B"/>
    <w:rsid w:val="4A4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6818"/>
  <w15:docId w15:val="{4A6A0004-1AF6-48DB-9DC5-63D90D3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01D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1D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Query('CourseCode','ISCT010611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etQuery('CourseCode','ISCT010611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yongwang1976@163.com</dc:creator>
  <cp:lastModifiedBy>Ou Yun</cp:lastModifiedBy>
  <cp:revision>6</cp:revision>
  <cp:lastPrinted>2023-12-25T07:22:00Z</cp:lastPrinted>
  <dcterms:created xsi:type="dcterms:W3CDTF">2023-12-20T09:48:00Z</dcterms:created>
  <dcterms:modified xsi:type="dcterms:W3CDTF">2023-12-25T07:28:00Z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BF350FE7E0714DC99D20BD003A7D07FC_13</vt:lpwstr>
  </property>
</Properties>
</file>