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28" w:rsidRDefault="00775F5E">
      <w:pPr>
        <w:pStyle w:val="a3"/>
        <w:rPr>
          <w:rFonts w:ascii="宋体"/>
          <w:sz w:val="44"/>
          <w:szCs w:val="44"/>
        </w:rPr>
      </w:pPr>
      <w:r>
        <w:rPr>
          <w:rFonts w:ascii="宋体" w:hAnsi="宋体" w:hint="eastAsia"/>
          <w:sz w:val="44"/>
          <w:szCs w:val="44"/>
        </w:rPr>
        <w:t>法学专业双学位培养方案</w:t>
      </w:r>
    </w:p>
    <w:p w:rsidR="00336028" w:rsidRDefault="00775F5E">
      <w:pPr>
        <w:widowControl/>
        <w:snapToGrid w:val="0"/>
        <w:spacing w:line="360" w:lineRule="auto"/>
        <w:rPr>
          <w:rFonts w:ascii="宋体"/>
          <w:b/>
          <w:sz w:val="18"/>
          <w:szCs w:val="18"/>
        </w:rPr>
      </w:pPr>
      <w:r>
        <w:rPr>
          <w:rFonts w:ascii="宋体" w:hAnsi="宋体" w:hint="eastAsia"/>
          <w:b/>
          <w:sz w:val="18"/>
          <w:szCs w:val="18"/>
        </w:rPr>
        <w:t>一、培养目标</w:t>
      </w:r>
    </w:p>
    <w:p w:rsidR="00336028" w:rsidRDefault="00775F5E">
      <w:pPr>
        <w:spacing w:line="360" w:lineRule="auto"/>
        <w:ind w:firstLineChars="200" w:firstLine="360"/>
        <w:rPr>
          <w:rFonts w:ascii="宋体"/>
          <w:sz w:val="18"/>
          <w:szCs w:val="18"/>
        </w:rPr>
      </w:pPr>
      <w:r>
        <w:rPr>
          <w:rFonts w:ascii="宋体" w:hAnsi="宋体" w:hint="eastAsia"/>
          <w:sz w:val="18"/>
          <w:szCs w:val="18"/>
        </w:rPr>
        <w:t>通过对法学本科专业必修课、专业限选课和实践性环节的学习，培养能系统地掌握法学知识，熟悉我国现行法律和党的相关政策，综合素质高，实践能力强，富有创新精神和特殊专长，毕业后能从事（与原专业相关的）法律工作的复合型高级人才，同时培养高层次的学术人才，为跨学科的研究打下一定的基础。</w:t>
      </w:r>
      <w:r>
        <w:rPr>
          <w:rFonts w:ascii="宋体" w:hAnsi="宋体" w:hint="eastAsia"/>
          <w:b/>
          <w:sz w:val="18"/>
          <w:szCs w:val="18"/>
        </w:rPr>
        <w:t>二、培养要求</w:t>
      </w:r>
    </w:p>
    <w:p w:rsidR="00336028" w:rsidRDefault="00775F5E">
      <w:pPr>
        <w:spacing w:line="360" w:lineRule="auto"/>
        <w:ind w:firstLineChars="200" w:firstLine="360"/>
        <w:rPr>
          <w:rFonts w:ascii="宋体"/>
          <w:sz w:val="18"/>
          <w:szCs w:val="18"/>
        </w:rPr>
      </w:pPr>
      <w:r>
        <w:rPr>
          <w:rFonts w:ascii="宋体" w:hAnsi="宋体" w:hint="eastAsia"/>
          <w:sz w:val="18"/>
          <w:szCs w:val="18"/>
        </w:rPr>
        <w:t>本专业要求学生系统掌握法学的基本原理、基本理论和基础知识，受到法学思维和法律实务的基本训练，并能够理论联系实际，具有运用法学理论和方法分析问题和运用法律管理事务与解决实际问题的能力。具体而言，毕业生应获得以下几方面的知识和能力：</w:t>
      </w:r>
    </w:p>
    <w:p w:rsidR="00336028" w:rsidRDefault="00775F5E">
      <w:pPr>
        <w:spacing w:line="360" w:lineRule="auto"/>
        <w:ind w:firstLineChars="200" w:firstLine="360"/>
        <w:rPr>
          <w:rFonts w:ascii="宋体"/>
          <w:sz w:val="18"/>
          <w:szCs w:val="18"/>
        </w:rPr>
      </w:pPr>
      <w:r>
        <w:rPr>
          <w:rFonts w:ascii="宋体" w:hAnsi="宋体"/>
          <w:sz w:val="18"/>
          <w:szCs w:val="18"/>
        </w:rPr>
        <w:t>1</w:t>
      </w:r>
      <w:r>
        <w:rPr>
          <w:rFonts w:ascii="宋体" w:hAnsi="宋体" w:hint="eastAsia"/>
          <w:sz w:val="18"/>
          <w:szCs w:val="18"/>
        </w:rPr>
        <w:t>、掌握法学各学科领域的基本理论与基本知识，掌握法学的基本分析方法和技术；</w:t>
      </w:r>
    </w:p>
    <w:p w:rsidR="00336028" w:rsidRDefault="00775F5E">
      <w:pPr>
        <w:spacing w:line="360" w:lineRule="auto"/>
        <w:ind w:firstLineChars="200" w:firstLine="360"/>
        <w:rPr>
          <w:rFonts w:ascii="宋体"/>
          <w:sz w:val="18"/>
          <w:szCs w:val="18"/>
        </w:rPr>
      </w:pPr>
      <w:r>
        <w:rPr>
          <w:rFonts w:ascii="宋体" w:hAnsi="宋体"/>
          <w:sz w:val="18"/>
          <w:szCs w:val="18"/>
        </w:rPr>
        <w:t>2</w:t>
      </w:r>
      <w:r>
        <w:rPr>
          <w:rFonts w:ascii="宋体" w:hAnsi="宋体" w:hint="eastAsia"/>
          <w:sz w:val="18"/>
          <w:szCs w:val="18"/>
        </w:rPr>
        <w:t>、具有较宽广的知识面，了解法学理论发展的前沿动态及国内法治建设的趋势；</w:t>
      </w:r>
    </w:p>
    <w:p w:rsidR="00336028" w:rsidRDefault="00775F5E">
      <w:pPr>
        <w:spacing w:line="360" w:lineRule="auto"/>
        <w:ind w:firstLineChars="200" w:firstLine="360"/>
        <w:rPr>
          <w:rFonts w:ascii="宋体"/>
          <w:sz w:val="18"/>
          <w:szCs w:val="18"/>
        </w:rPr>
      </w:pPr>
      <w:r>
        <w:rPr>
          <w:rFonts w:ascii="宋体" w:hAnsi="宋体"/>
          <w:sz w:val="18"/>
          <w:szCs w:val="18"/>
        </w:rPr>
        <w:t>3</w:t>
      </w:r>
      <w:r>
        <w:rPr>
          <w:rFonts w:ascii="宋体" w:hAnsi="宋体" w:hint="eastAsia"/>
          <w:sz w:val="18"/>
          <w:szCs w:val="18"/>
        </w:rPr>
        <w:t>、了解法律制度的历史发展和现状，熟悉我国主要法律、法规及党和国家政法工作的相关方针、政策，了解国内立法信息和司法实际状况；</w:t>
      </w:r>
    </w:p>
    <w:p w:rsidR="00336028" w:rsidRDefault="00775F5E">
      <w:pPr>
        <w:spacing w:line="360" w:lineRule="auto"/>
        <w:ind w:firstLineChars="200" w:firstLine="360"/>
        <w:rPr>
          <w:rFonts w:ascii="宋体"/>
          <w:sz w:val="18"/>
          <w:szCs w:val="18"/>
        </w:rPr>
      </w:pPr>
      <w:r>
        <w:rPr>
          <w:rFonts w:ascii="宋体" w:hAnsi="宋体"/>
          <w:sz w:val="18"/>
          <w:szCs w:val="18"/>
        </w:rPr>
        <w:t>4</w:t>
      </w:r>
      <w:r>
        <w:rPr>
          <w:rFonts w:ascii="宋体" w:hAnsi="宋体" w:hint="eastAsia"/>
          <w:sz w:val="18"/>
          <w:szCs w:val="18"/>
        </w:rPr>
        <w:t>、掌</w:t>
      </w:r>
      <w:r>
        <w:rPr>
          <w:rFonts w:ascii="宋体" w:hAnsi="宋体" w:hint="eastAsia"/>
          <w:sz w:val="18"/>
          <w:szCs w:val="18"/>
        </w:rPr>
        <w:t>握从事法律实务的职业技能，能运用马克思主义法学的立场、观点与方法去认识、研究和处理问题，能较熟练地应用有关法学知识和法律规定分析和解决各类法律纠纷案件；</w:t>
      </w:r>
    </w:p>
    <w:p w:rsidR="00336028" w:rsidRDefault="00775F5E">
      <w:pPr>
        <w:spacing w:line="360" w:lineRule="auto"/>
        <w:ind w:firstLineChars="200" w:firstLine="360"/>
        <w:rPr>
          <w:rFonts w:ascii="宋体"/>
          <w:sz w:val="18"/>
          <w:szCs w:val="18"/>
        </w:rPr>
      </w:pPr>
      <w:r>
        <w:rPr>
          <w:rFonts w:ascii="宋体" w:hAnsi="宋体"/>
          <w:sz w:val="18"/>
          <w:szCs w:val="18"/>
        </w:rPr>
        <w:t>5</w:t>
      </w:r>
      <w:r>
        <w:rPr>
          <w:rFonts w:ascii="宋体" w:hAnsi="宋体" w:hint="eastAsia"/>
          <w:sz w:val="18"/>
          <w:szCs w:val="18"/>
        </w:rPr>
        <w:t>、具有良好的口头表达能力、文字驾驭能力和逻辑思维能力；</w:t>
      </w:r>
    </w:p>
    <w:p w:rsidR="00336028" w:rsidRDefault="00775F5E">
      <w:pPr>
        <w:spacing w:line="360" w:lineRule="auto"/>
        <w:ind w:firstLineChars="200" w:firstLine="360"/>
        <w:rPr>
          <w:rFonts w:ascii="宋体"/>
          <w:sz w:val="18"/>
          <w:szCs w:val="18"/>
        </w:rPr>
      </w:pPr>
      <w:r>
        <w:rPr>
          <w:rFonts w:ascii="宋体" w:hAnsi="宋体"/>
          <w:sz w:val="18"/>
          <w:szCs w:val="18"/>
        </w:rPr>
        <w:t>6</w:t>
      </w:r>
      <w:r>
        <w:rPr>
          <w:rFonts w:ascii="宋体" w:hAnsi="宋体" w:hint="eastAsia"/>
          <w:sz w:val="18"/>
          <w:szCs w:val="18"/>
        </w:rPr>
        <w:t>、掌握文献检索、资料查询的基本方法，具有一定的实际工作能力和初步的科学研究能力；</w:t>
      </w:r>
    </w:p>
    <w:p w:rsidR="00336028" w:rsidRDefault="00775F5E">
      <w:pPr>
        <w:spacing w:line="360" w:lineRule="auto"/>
        <w:ind w:firstLineChars="200" w:firstLine="360"/>
        <w:rPr>
          <w:rFonts w:ascii="宋体"/>
          <w:sz w:val="18"/>
          <w:szCs w:val="18"/>
        </w:rPr>
      </w:pPr>
      <w:r>
        <w:rPr>
          <w:rFonts w:ascii="宋体" w:hAnsi="宋体"/>
          <w:sz w:val="18"/>
          <w:szCs w:val="18"/>
        </w:rPr>
        <w:t>7</w:t>
      </w:r>
      <w:r>
        <w:rPr>
          <w:rFonts w:ascii="宋体" w:hAnsi="宋体" w:hint="eastAsia"/>
          <w:sz w:val="18"/>
          <w:szCs w:val="18"/>
        </w:rPr>
        <w:t>、比较熟练地掌握一门外语和计算机操作技能，具备较强的外语听说读写能力以及计算机应用能力。</w:t>
      </w:r>
      <w:r>
        <w:rPr>
          <w:rFonts w:ascii="宋体" w:hAnsi="宋体" w:hint="eastAsia"/>
          <w:b/>
          <w:sz w:val="18"/>
          <w:szCs w:val="18"/>
        </w:rPr>
        <w:t>三、学分与学制要求</w:t>
      </w:r>
    </w:p>
    <w:p w:rsidR="00336028" w:rsidRDefault="00775F5E">
      <w:pPr>
        <w:widowControl/>
        <w:snapToGrid w:val="0"/>
        <w:spacing w:line="360" w:lineRule="auto"/>
        <w:ind w:leftChars="172" w:left="721" w:hangingChars="200" w:hanging="360"/>
        <w:rPr>
          <w:rFonts w:ascii="宋体"/>
          <w:sz w:val="18"/>
          <w:szCs w:val="18"/>
        </w:rPr>
      </w:pPr>
      <w:r>
        <w:rPr>
          <w:rFonts w:ascii="宋体" w:hAnsi="宋体" w:hint="eastAsia"/>
          <w:sz w:val="18"/>
          <w:szCs w:val="18"/>
        </w:rPr>
        <w:t>学分要求：</w:t>
      </w:r>
      <w:r w:rsidR="00CF77D5">
        <w:rPr>
          <w:rFonts w:ascii="宋体" w:hAnsi="宋体" w:hint="eastAsia"/>
          <w:sz w:val="18"/>
          <w:szCs w:val="18"/>
        </w:rPr>
        <w:t>62</w:t>
      </w:r>
      <w:r>
        <w:rPr>
          <w:rFonts w:ascii="宋体" w:hAnsi="宋体" w:hint="eastAsia"/>
          <w:sz w:val="18"/>
          <w:szCs w:val="18"/>
        </w:rPr>
        <w:t>学分</w:t>
      </w:r>
    </w:p>
    <w:p w:rsidR="00336028" w:rsidRDefault="00775F5E">
      <w:pPr>
        <w:widowControl/>
        <w:snapToGrid w:val="0"/>
        <w:spacing w:line="360" w:lineRule="auto"/>
        <w:ind w:leftChars="172" w:left="721" w:hangingChars="200" w:hanging="360"/>
        <w:rPr>
          <w:rFonts w:ascii="宋体"/>
        </w:rPr>
      </w:pPr>
      <w:r>
        <w:rPr>
          <w:rFonts w:ascii="宋体" w:hAnsi="宋体" w:hint="eastAsia"/>
          <w:sz w:val="18"/>
          <w:szCs w:val="18"/>
        </w:rPr>
        <w:t>学制要求：学制</w:t>
      </w:r>
      <w:r>
        <w:rPr>
          <w:rFonts w:ascii="宋体" w:hAnsi="宋体"/>
          <w:sz w:val="18"/>
          <w:szCs w:val="18"/>
        </w:rPr>
        <w:t>2</w:t>
      </w:r>
      <w:r>
        <w:rPr>
          <w:rFonts w:ascii="宋体" w:hAnsi="宋体" w:hint="eastAsia"/>
          <w:sz w:val="18"/>
          <w:szCs w:val="18"/>
        </w:rPr>
        <w:t>年（从申请修读双学位专业起）</w:t>
      </w:r>
    </w:p>
    <w:p w:rsidR="00336028" w:rsidRDefault="00775F5E">
      <w:pPr>
        <w:widowControl/>
        <w:snapToGrid w:val="0"/>
        <w:spacing w:line="360" w:lineRule="auto"/>
        <w:ind w:left="720" w:hanging="720"/>
        <w:rPr>
          <w:rFonts w:ascii="宋体"/>
          <w:b/>
          <w:sz w:val="18"/>
          <w:szCs w:val="18"/>
        </w:rPr>
      </w:pPr>
      <w:r>
        <w:rPr>
          <w:rFonts w:ascii="宋体" w:hAnsi="宋体" w:hint="eastAsia"/>
          <w:b/>
          <w:sz w:val="18"/>
          <w:szCs w:val="18"/>
        </w:rPr>
        <w:t>四、课程设置</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2063"/>
        <w:gridCol w:w="720"/>
        <w:gridCol w:w="722"/>
        <w:gridCol w:w="1031"/>
        <w:gridCol w:w="992"/>
      </w:tblGrid>
      <w:tr w:rsidR="00336028">
        <w:trPr>
          <w:trHeight w:val="768"/>
        </w:trPr>
        <w:tc>
          <w:tcPr>
            <w:tcW w:w="1951" w:type="dxa"/>
            <w:vAlign w:val="center"/>
          </w:tcPr>
          <w:p w:rsidR="00336028" w:rsidRDefault="00775F5E">
            <w:pPr>
              <w:spacing w:before="240"/>
              <w:jc w:val="center"/>
              <w:outlineLvl w:val="0"/>
              <w:rPr>
                <w:rFonts w:ascii="宋体"/>
                <w:b/>
                <w:sz w:val="18"/>
                <w:szCs w:val="18"/>
              </w:rPr>
            </w:pPr>
            <w:r>
              <w:rPr>
                <w:rFonts w:ascii="宋体" w:hAnsi="宋体" w:hint="eastAsia"/>
                <w:b/>
                <w:sz w:val="18"/>
                <w:szCs w:val="18"/>
              </w:rPr>
              <w:t>课程类型</w:t>
            </w:r>
          </w:p>
        </w:tc>
        <w:tc>
          <w:tcPr>
            <w:tcW w:w="1134" w:type="dxa"/>
            <w:vAlign w:val="center"/>
          </w:tcPr>
          <w:p w:rsidR="00336028" w:rsidRDefault="00775F5E">
            <w:pPr>
              <w:spacing w:before="240"/>
              <w:jc w:val="center"/>
              <w:outlineLvl w:val="0"/>
              <w:rPr>
                <w:rFonts w:ascii="宋体"/>
                <w:b/>
                <w:sz w:val="18"/>
                <w:szCs w:val="18"/>
              </w:rPr>
            </w:pPr>
            <w:r>
              <w:rPr>
                <w:rFonts w:ascii="宋体" w:hAnsi="宋体" w:hint="eastAsia"/>
                <w:b/>
                <w:sz w:val="18"/>
                <w:szCs w:val="18"/>
              </w:rPr>
              <w:t>课程代码</w:t>
            </w:r>
          </w:p>
        </w:tc>
        <w:tc>
          <w:tcPr>
            <w:tcW w:w="2063" w:type="dxa"/>
            <w:vAlign w:val="center"/>
          </w:tcPr>
          <w:p w:rsidR="00336028" w:rsidRDefault="00775F5E">
            <w:pPr>
              <w:spacing w:before="240"/>
              <w:jc w:val="center"/>
              <w:outlineLvl w:val="0"/>
              <w:rPr>
                <w:rFonts w:ascii="宋体"/>
                <w:b/>
                <w:sz w:val="18"/>
                <w:szCs w:val="18"/>
              </w:rPr>
            </w:pPr>
            <w:r>
              <w:rPr>
                <w:rFonts w:ascii="宋体" w:hAnsi="宋体" w:hint="eastAsia"/>
                <w:b/>
                <w:sz w:val="18"/>
                <w:szCs w:val="18"/>
              </w:rPr>
              <w:t>课程名</w:t>
            </w:r>
            <w:r>
              <w:rPr>
                <w:rFonts w:ascii="宋体" w:hAnsi="宋体" w:hint="eastAsia"/>
                <w:b/>
                <w:sz w:val="18"/>
                <w:szCs w:val="18"/>
              </w:rPr>
              <w:t>称</w:t>
            </w:r>
          </w:p>
        </w:tc>
        <w:tc>
          <w:tcPr>
            <w:tcW w:w="720" w:type="dxa"/>
            <w:vAlign w:val="center"/>
          </w:tcPr>
          <w:p w:rsidR="00336028" w:rsidRDefault="00775F5E">
            <w:pPr>
              <w:spacing w:before="240"/>
              <w:jc w:val="center"/>
              <w:outlineLvl w:val="0"/>
              <w:rPr>
                <w:rFonts w:ascii="宋体"/>
                <w:b/>
                <w:sz w:val="18"/>
                <w:szCs w:val="18"/>
              </w:rPr>
            </w:pPr>
            <w:r>
              <w:rPr>
                <w:rFonts w:ascii="宋体" w:hAnsi="宋体" w:hint="eastAsia"/>
                <w:b/>
                <w:sz w:val="18"/>
                <w:szCs w:val="18"/>
              </w:rPr>
              <w:t>课程性质</w:t>
            </w:r>
          </w:p>
        </w:tc>
        <w:tc>
          <w:tcPr>
            <w:tcW w:w="722" w:type="dxa"/>
            <w:vAlign w:val="center"/>
          </w:tcPr>
          <w:p w:rsidR="00336028" w:rsidRDefault="00775F5E">
            <w:pPr>
              <w:spacing w:before="240"/>
              <w:jc w:val="center"/>
              <w:outlineLvl w:val="0"/>
              <w:rPr>
                <w:rFonts w:ascii="宋体"/>
                <w:b/>
                <w:sz w:val="18"/>
                <w:szCs w:val="18"/>
              </w:rPr>
            </w:pPr>
            <w:r>
              <w:rPr>
                <w:rFonts w:ascii="宋体" w:hAnsi="宋体" w:hint="eastAsia"/>
                <w:b/>
                <w:sz w:val="18"/>
                <w:szCs w:val="18"/>
              </w:rPr>
              <w:t>学分</w:t>
            </w:r>
          </w:p>
        </w:tc>
        <w:tc>
          <w:tcPr>
            <w:tcW w:w="1031" w:type="dxa"/>
            <w:vAlign w:val="center"/>
          </w:tcPr>
          <w:p w:rsidR="00336028" w:rsidRDefault="00775F5E">
            <w:pPr>
              <w:spacing w:before="240"/>
              <w:jc w:val="center"/>
              <w:outlineLvl w:val="0"/>
              <w:rPr>
                <w:rFonts w:ascii="宋体"/>
                <w:b/>
                <w:sz w:val="18"/>
                <w:szCs w:val="18"/>
              </w:rPr>
            </w:pPr>
            <w:r>
              <w:rPr>
                <w:rFonts w:ascii="宋体" w:hAnsi="宋体" w:hint="eastAsia"/>
                <w:b/>
                <w:sz w:val="18"/>
                <w:szCs w:val="18"/>
              </w:rPr>
              <w:t>开课学期</w:t>
            </w:r>
          </w:p>
        </w:tc>
        <w:tc>
          <w:tcPr>
            <w:tcW w:w="992" w:type="dxa"/>
            <w:vAlign w:val="center"/>
          </w:tcPr>
          <w:p w:rsidR="00336028" w:rsidRDefault="00775F5E">
            <w:pPr>
              <w:spacing w:before="240"/>
              <w:jc w:val="center"/>
              <w:outlineLvl w:val="0"/>
              <w:rPr>
                <w:rFonts w:ascii="宋体"/>
                <w:b/>
                <w:sz w:val="18"/>
                <w:szCs w:val="18"/>
              </w:rPr>
            </w:pPr>
            <w:r>
              <w:rPr>
                <w:rFonts w:ascii="宋体" w:hAnsi="宋体" w:hint="eastAsia"/>
                <w:b/>
                <w:sz w:val="18"/>
                <w:szCs w:val="18"/>
              </w:rPr>
              <w:t>开课学院</w:t>
            </w:r>
          </w:p>
        </w:tc>
      </w:tr>
      <w:tr w:rsidR="00336028">
        <w:trPr>
          <w:trHeight w:val="591"/>
        </w:trPr>
        <w:tc>
          <w:tcPr>
            <w:tcW w:w="1951" w:type="dxa"/>
            <w:vAlign w:val="center"/>
          </w:tcPr>
          <w:p w:rsidR="00336028" w:rsidRDefault="00775F5E">
            <w:pPr>
              <w:spacing w:before="240"/>
              <w:jc w:val="center"/>
              <w:outlineLvl w:val="0"/>
              <w:rPr>
                <w:rFonts w:ascii="宋体"/>
                <w:b/>
                <w:sz w:val="18"/>
                <w:szCs w:val="18"/>
              </w:rPr>
            </w:pPr>
            <w:r>
              <w:rPr>
                <w:rFonts w:ascii="宋体" w:hAnsi="宋体" w:hint="eastAsia"/>
                <w:b/>
                <w:sz w:val="18"/>
                <w:szCs w:val="18"/>
              </w:rPr>
              <w:t>公共基础课程</w:t>
            </w:r>
          </w:p>
          <w:p w:rsidR="00336028" w:rsidRDefault="00775F5E">
            <w:pPr>
              <w:spacing w:before="240"/>
              <w:jc w:val="center"/>
              <w:outlineLvl w:val="0"/>
              <w:rPr>
                <w:rFonts w:ascii="宋体"/>
                <w:b/>
                <w:sz w:val="18"/>
                <w:szCs w:val="18"/>
              </w:rPr>
            </w:pPr>
            <w:r>
              <w:rPr>
                <w:rFonts w:ascii="宋体" w:hAnsi="宋体" w:hint="eastAsia"/>
                <w:b/>
                <w:sz w:val="18"/>
                <w:szCs w:val="18"/>
              </w:rPr>
              <w:t>共</w:t>
            </w:r>
            <w:r>
              <w:rPr>
                <w:rFonts w:ascii="宋体" w:hAnsi="宋体"/>
                <w:b/>
                <w:sz w:val="18"/>
                <w:szCs w:val="18"/>
              </w:rPr>
              <w:t>2</w:t>
            </w:r>
            <w:r>
              <w:rPr>
                <w:rFonts w:ascii="宋体" w:hAnsi="宋体" w:hint="eastAsia"/>
                <w:b/>
                <w:sz w:val="18"/>
                <w:szCs w:val="18"/>
              </w:rPr>
              <w:t>学分</w:t>
            </w: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大学语文</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艺传学院</w:t>
            </w:r>
          </w:p>
        </w:tc>
      </w:tr>
      <w:tr w:rsidR="00336028">
        <w:trPr>
          <w:trHeight w:val="375"/>
        </w:trPr>
        <w:tc>
          <w:tcPr>
            <w:tcW w:w="1951" w:type="dxa"/>
            <w:vMerge w:val="restart"/>
            <w:vAlign w:val="center"/>
          </w:tcPr>
          <w:p w:rsidR="00336028" w:rsidRDefault="00775F5E">
            <w:pPr>
              <w:spacing w:before="240"/>
              <w:jc w:val="center"/>
              <w:outlineLvl w:val="0"/>
              <w:rPr>
                <w:rFonts w:ascii="宋体"/>
                <w:b/>
                <w:sz w:val="18"/>
                <w:szCs w:val="18"/>
              </w:rPr>
            </w:pPr>
            <w:r>
              <w:rPr>
                <w:rFonts w:ascii="宋体" w:hAnsi="宋体" w:hint="eastAsia"/>
                <w:b/>
                <w:sz w:val="18"/>
                <w:szCs w:val="18"/>
              </w:rPr>
              <w:t>专业必修课</w:t>
            </w:r>
          </w:p>
          <w:p w:rsidR="00336028" w:rsidRDefault="00775F5E">
            <w:pPr>
              <w:spacing w:before="240"/>
              <w:jc w:val="center"/>
              <w:outlineLvl w:val="0"/>
              <w:rPr>
                <w:rFonts w:ascii="宋体"/>
                <w:b/>
                <w:sz w:val="18"/>
                <w:szCs w:val="18"/>
              </w:rPr>
            </w:pPr>
            <w:r>
              <w:rPr>
                <w:rFonts w:ascii="宋体" w:hAnsi="宋体" w:hint="eastAsia"/>
                <w:b/>
                <w:sz w:val="18"/>
                <w:szCs w:val="18"/>
              </w:rPr>
              <w:t>共</w:t>
            </w:r>
            <w:r>
              <w:rPr>
                <w:rFonts w:ascii="宋体" w:hAnsi="宋体"/>
                <w:b/>
                <w:sz w:val="18"/>
                <w:szCs w:val="18"/>
              </w:rPr>
              <w:t>49</w:t>
            </w:r>
            <w:r>
              <w:rPr>
                <w:rFonts w:ascii="宋体" w:hAnsi="宋体" w:hint="eastAsia"/>
                <w:b/>
                <w:sz w:val="18"/>
                <w:szCs w:val="18"/>
              </w:rPr>
              <w:t>学分</w:t>
            </w: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法理学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4</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春季学期</w:t>
            </w:r>
          </w:p>
        </w:tc>
        <w:tc>
          <w:tcPr>
            <w:tcW w:w="992" w:type="dxa"/>
            <w:vMerge w:val="restart"/>
            <w:vAlign w:val="center"/>
          </w:tcPr>
          <w:p w:rsidR="00336028" w:rsidRDefault="00775F5E">
            <w:pPr>
              <w:spacing w:before="240"/>
              <w:jc w:val="center"/>
              <w:outlineLvl w:val="0"/>
              <w:rPr>
                <w:rFonts w:ascii="宋体"/>
                <w:sz w:val="18"/>
                <w:szCs w:val="18"/>
              </w:rPr>
            </w:pPr>
            <w:r>
              <w:rPr>
                <w:rFonts w:ascii="宋体" w:hAnsi="宋体" w:hint="eastAsia"/>
                <w:sz w:val="18"/>
                <w:szCs w:val="18"/>
              </w:rPr>
              <w:t>公管与政法学院</w:t>
            </w:r>
          </w:p>
        </w:tc>
      </w:tr>
      <w:tr w:rsidR="00336028">
        <w:trPr>
          <w:trHeight w:val="425"/>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宪法学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春季学期</w:t>
            </w:r>
          </w:p>
        </w:tc>
        <w:tc>
          <w:tcPr>
            <w:tcW w:w="992" w:type="dxa"/>
            <w:vMerge/>
            <w:vAlign w:val="center"/>
          </w:tcPr>
          <w:p w:rsidR="00336028" w:rsidRDefault="00336028">
            <w:pPr>
              <w:spacing w:before="240"/>
              <w:jc w:val="center"/>
              <w:outlineLvl w:val="0"/>
              <w:rPr>
                <w:rFonts w:ascii="宋体"/>
                <w:sz w:val="18"/>
                <w:szCs w:val="18"/>
              </w:rPr>
            </w:pPr>
          </w:p>
        </w:tc>
      </w:tr>
      <w:tr w:rsidR="00336028">
        <w:trPr>
          <w:trHeight w:val="333"/>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刑法学Ⅰ</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春季学期</w:t>
            </w:r>
          </w:p>
        </w:tc>
        <w:tc>
          <w:tcPr>
            <w:tcW w:w="992" w:type="dxa"/>
            <w:vMerge/>
            <w:vAlign w:val="center"/>
          </w:tcPr>
          <w:p w:rsidR="00336028" w:rsidRDefault="00336028">
            <w:pPr>
              <w:spacing w:before="240"/>
              <w:jc w:val="center"/>
              <w:outlineLvl w:val="0"/>
              <w:rPr>
                <w:rFonts w:ascii="宋体"/>
                <w:sz w:val="18"/>
                <w:szCs w:val="18"/>
              </w:rPr>
            </w:pPr>
          </w:p>
        </w:tc>
      </w:tr>
      <w:tr w:rsidR="00336028">
        <w:trPr>
          <w:trHeight w:val="383"/>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民法学Ⅰ</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春季学期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302"/>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刑法学Ⅱ</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秋季学期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271"/>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民法学Ⅱ</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秋季学期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272"/>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中国法制史</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秋季学期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176"/>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商法学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秋季学期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712"/>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知识产权法学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春季学期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285"/>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经济法学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春季学期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190"/>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刑事诉讼法学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春季学期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108"/>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民事诉讼法学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春季学期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176"/>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行政法与行政诉讼法学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秋季学期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217"/>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国际法学</w:t>
            </w:r>
            <w:r>
              <w:rPr>
                <w:rFonts w:ascii="宋体" w:hAnsi="宋体"/>
                <w:sz w:val="18"/>
                <w:szCs w:val="18"/>
              </w:rPr>
              <w:t>B</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秋季学期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326"/>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国际私法学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秋季学期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326"/>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国际经济法学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3</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秋季学期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258"/>
        </w:trPr>
        <w:tc>
          <w:tcPr>
            <w:tcW w:w="1951" w:type="dxa"/>
            <w:vMerge w:val="restart"/>
            <w:vAlign w:val="center"/>
          </w:tcPr>
          <w:p w:rsidR="00336028" w:rsidRDefault="00775F5E">
            <w:pPr>
              <w:spacing w:before="240"/>
              <w:jc w:val="center"/>
              <w:outlineLvl w:val="0"/>
              <w:rPr>
                <w:rFonts w:ascii="宋体"/>
                <w:b/>
                <w:sz w:val="18"/>
                <w:szCs w:val="18"/>
              </w:rPr>
            </w:pPr>
            <w:r>
              <w:rPr>
                <w:rFonts w:ascii="宋体" w:hAnsi="宋体" w:hint="eastAsia"/>
                <w:b/>
                <w:sz w:val="18"/>
                <w:szCs w:val="18"/>
              </w:rPr>
              <w:t>专业限选课</w:t>
            </w:r>
          </w:p>
          <w:p w:rsidR="00336028" w:rsidRDefault="00775F5E">
            <w:pPr>
              <w:spacing w:before="240"/>
              <w:jc w:val="center"/>
              <w:outlineLvl w:val="0"/>
              <w:rPr>
                <w:rFonts w:ascii="宋体"/>
                <w:b/>
                <w:sz w:val="18"/>
                <w:szCs w:val="18"/>
              </w:rPr>
            </w:pPr>
            <w:r>
              <w:rPr>
                <w:rFonts w:ascii="宋体" w:hAnsi="宋体" w:hint="eastAsia"/>
                <w:b/>
                <w:sz w:val="18"/>
                <w:szCs w:val="18"/>
              </w:rPr>
              <w:t>限选</w:t>
            </w:r>
            <w:r>
              <w:rPr>
                <w:rFonts w:ascii="宋体" w:hAnsi="宋体"/>
                <w:b/>
                <w:sz w:val="18"/>
                <w:szCs w:val="18"/>
              </w:rPr>
              <w:t>2</w:t>
            </w:r>
            <w:r>
              <w:rPr>
                <w:rFonts w:ascii="宋体" w:hAnsi="宋体" w:hint="eastAsia"/>
                <w:b/>
                <w:sz w:val="18"/>
                <w:szCs w:val="18"/>
              </w:rPr>
              <w:t>学分</w:t>
            </w: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环境资源法</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Merge w:val="restart"/>
            <w:vAlign w:val="center"/>
          </w:tcPr>
          <w:p w:rsidR="00336028" w:rsidRDefault="00775F5E">
            <w:pPr>
              <w:spacing w:before="240"/>
              <w:jc w:val="center"/>
              <w:outlineLvl w:val="0"/>
              <w:rPr>
                <w:rFonts w:ascii="宋体"/>
                <w:sz w:val="18"/>
                <w:szCs w:val="18"/>
              </w:rPr>
            </w:pPr>
            <w:r>
              <w:rPr>
                <w:rFonts w:ascii="宋体" w:hAnsi="宋体" w:hint="eastAsia"/>
                <w:sz w:val="18"/>
                <w:szCs w:val="18"/>
              </w:rPr>
              <w:t>公管与政法学院</w:t>
            </w:r>
          </w:p>
        </w:tc>
      </w:tr>
      <w:tr w:rsidR="00336028">
        <w:trPr>
          <w:trHeight w:val="687"/>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劳动与社会保障法</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136"/>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合同法</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769"/>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婚姻家庭继承法</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525"/>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公司法</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419"/>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外国法制史</w:t>
            </w:r>
            <w:r>
              <w:rPr>
                <w:rFonts w:ascii="宋体" w:hAnsi="宋体"/>
                <w:kern w:val="0"/>
                <w:sz w:val="18"/>
                <w:szCs w:val="18"/>
              </w:rPr>
              <w:t>A</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190"/>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仲裁法</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258"/>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证据法学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312"/>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犯罪学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674"/>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世界贸易组织法</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312"/>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人权法</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176"/>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律师与公证</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258"/>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法律文书</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hAns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312"/>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刑事侦查学</w:t>
            </w:r>
            <w:r>
              <w:rPr>
                <w:rFonts w:ascii="宋体" w:hAnsi="宋体" w:hint="eastAsia"/>
                <w:kern w:val="0"/>
                <w:sz w:val="18"/>
                <w:szCs w:val="18"/>
              </w:rPr>
              <w:t>（</w:t>
            </w:r>
            <w:r>
              <w:rPr>
                <w:rFonts w:ascii="宋体" w:hAnsi="宋体"/>
                <w:kern w:val="0"/>
                <w:sz w:val="18"/>
                <w:szCs w:val="18"/>
              </w:rPr>
              <w:t>1+1</w:t>
            </w:r>
            <w:r>
              <w:rPr>
                <w:rFonts w:ascii="宋体" w:hAnsi="宋体" w:hint="eastAsia"/>
                <w:kern w:val="0"/>
                <w:sz w:val="18"/>
                <w:szCs w:val="18"/>
              </w:rPr>
              <w:t>）</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限选</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2</w:t>
            </w:r>
          </w:p>
        </w:tc>
        <w:tc>
          <w:tcPr>
            <w:tcW w:w="1031" w:type="dxa"/>
            <w:vAlign w:val="center"/>
          </w:tcPr>
          <w:p w:rsidR="00336028" w:rsidRDefault="00336028">
            <w:pPr>
              <w:spacing w:before="240"/>
              <w:jc w:val="center"/>
              <w:outlineLvl w:val="0"/>
              <w:rPr>
                <w:rFonts w:ascii="宋体"/>
                <w:sz w:val="18"/>
                <w:szCs w:val="18"/>
              </w:rPr>
            </w:pP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584"/>
        </w:trPr>
        <w:tc>
          <w:tcPr>
            <w:tcW w:w="1951" w:type="dxa"/>
            <w:vMerge w:val="restart"/>
            <w:vAlign w:val="center"/>
          </w:tcPr>
          <w:p w:rsidR="00336028" w:rsidRDefault="00775F5E">
            <w:pPr>
              <w:spacing w:before="240"/>
              <w:jc w:val="center"/>
              <w:outlineLvl w:val="0"/>
              <w:rPr>
                <w:rFonts w:ascii="宋体"/>
                <w:b/>
                <w:sz w:val="18"/>
                <w:szCs w:val="18"/>
              </w:rPr>
            </w:pPr>
            <w:r>
              <w:rPr>
                <w:rFonts w:ascii="宋体" w:hAnsi="宋体" w:hint="eastAsia"/>
                <w:b/>
                <w:sz w:val="18"/>
                <w:szCs w:val="18"/>
              </w:rPr>
              <w:t>实践环节</w:t>
            </w:r>
          </w:p>
          <w:p w:rsidR="00336028" w:rsidRDefault="00775F5E">
            <w:pPr>
              <w:spacing w:before="240"/>
              <w:jc w:val="center"/>
              <w:outlineLvl w:val="0"/>
              <w:rPr>
                <w:rFonts w:ascii="宋体"/>
                <w:b/>
                <w:sz w:val="18"/>
                <w:szCs w:val="18"/>
              </w:rPr>
            </w:pPr>
            <w:r>
              <w:rPr>
                <w:rFonts w:ascii="宋体" w:hAnsi="宋体" w:hint="eastAsia"/>
                <w:b/>
                <w:sz w:val="18"/>
                <w:szCs w:val="18"/>
              </w:rPr>
              <w:t>共</w:t>
            </w:r>
            <w:r w:rsidR="00CF77D5">
              <w:rPr>
                <w:rFonts w:ascii="宋体" w:hAnsi="宋体" w:hint="eastAsia"/>
                <w:b/>
                <w:sz w:val="18"/>
                <w:szCs w:val="18"/>
              </w:rPr>
              <w:t>9</w:t>
            </w:r>
            <w:r>
              <w:rPr>
                <w:rFonts w:ascii="宋体" w:hAnsi="宋体" w:hint="eastAsia"/>
                <w:b/>
                <w:sz w:val="18"/>
                <w:szCs w:val="18"/>
              </w:rPr>
              <w:t>学分</w:t>
            </w: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毕业实习</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775F5E">
            <w:pPr>
              <w:spacing w:before="240"/>
              <w:jc w:val="center"/>
              <w:outlineLvl w:val="0"/>
              <w:rPr>
                <w:rFonts w:ascii="宋体" w:hAnsi="宋体"/>
                <w:sz w:val="18"/>
                <w:szCs w:val="18"/>
              </w:rPr>
            </w:pPr>
            <w:r>
              <w:rPr>
                <w:rFonts w:ascii="宋体" w:hAnsi="宋体"/>
                <w:sz w:val="18"/>
                <w:szCs w:val="18"/>
              </w:rPr>
              <w:t>1</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春季学期</w:t>
            </w:r>
          </w:p>
        </w:tc>
        <w:tc>
          <w:tcPr>
            <w:tcW w:w="992" w:type="dxa"/>
            <w:vMerge w:val="restart"/>
            <w:vAlign w:val="center"/>
          </w:tcPr>
          <w:p w:rsidR="00336028" w:rsidRDefault="00775F5E">
            <w:pPr>
              <w:spacing w:before="240"/>
              <w:jc w:val="center"/>
              <w:outlineLvl w:val="0"/>
              <w:rPr>
                <w:rFonts w:ascii="宋体"/>
                <w:sz w:val="18"/>
                <w:szCs w:val="18"/>
              </w:rPr>
            </w:pPr>
            <w:r>
              <w:rPr>
                <w:rFonts w:ascii="宋体" w:hAnsi="宋体" w:hint="eastAsia"/>
                <w:sz w:val="18"/>
                <w:szCs w:val="18"/>
              </w:rPr>
              <w:t>公管与政法学院</w:t>
            </w:r>
          </w:p>
        </w:tc>
      </w:tr>
      <w:tr w:rsidR="00336028">
        <w:trPr>
          <w:trHeight w:val="503"/>
        </w:trPr>
        <w:tc>
          <w:tcPr>
            <w:tcW w:w="1951" w:type="dxa"/>
            <w:vMerge/>
            <w:vAlign w:val="center"/>
          </w:tcPr>
          <w:p w:rsidR="00336028" w:rsidRDefault="00336028">
            <w:pPr>
              <w:spacing w:before="240"/>
              <w:jc w:val="center"/>
              <w:outlineLvl w:val="0"/>
              <w:rPr>
                <w:rFonts w:ascii="宋体"/>
                <w:b/>
                <w:sz w:val="18"/>
                <w:szCs w:val="18"/>
              </w:rPr>
            </w:pPr>
          </w:p>
        </w:tc>
        <w:tc>
          <w:tcPr>
            <w:tcW w:w="1134" w:type="dxa"/>
            <w:vAlign w:val="center"/>
          </w:tcPr>
          <w:p w:rsidR="00336028" w:rsidRDefault="00336028">
            <w:pPr>
              <w:spacing w:before="240"/>
              <w:jc w:val="center"/>
              <w:outlineLvl w:val="0"/>
              <w:rPr>
                <w:rFonts w:ascii="宋体"/>
                <w:sz w:val="18"/>
                <w:szCs w:val="18"/>
              </w:rPr>
            </w:pPr>
          </w:p>
        </w:tc>
        <w:tc>
          <w:tcPr>
            <w:tcW w:w="2063"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毕业论文</w:t>
            </w:r>
          </w:p>
        </w:tc>
        <w:tc>
          <w:tcPr>
            <w:tcW w:w="720"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必修</w:t>
            </w:r>
          </w:p>
        </w:tc>
        <w:tc>
          <w:tcPr>
            <w:tcW w:w="722" w:type="dxa"/>
            <w:vAlign w:val="center"/>
          </w:tcPr>
          <w:p w:rsidR="00336028" w:rsidRDefault="00CF77D5">
            <w:pPr>
              <w:spacing w:before="240"/>
              <w:jc w:val="center"/>
              <w:outlineLvl w:val="0"/>
              <w:rPr>
                <w:rFonts w:ascii="宋体" w:hAnsi="宋体"/>
                <w:sz w:val="18"/>
                <w:szCs w:val="18"/>
              </w:rPr>
            </w:pPr>
            <w:r>
              <w:rPr>
                <w:rFonts w:ascii="宋体" w:hAnsi="宋体" w:hint="eastAsia"/>
                <w:sz w:val="18"/>
                <w:szCs w:val="18"/>
              </w:rPr>
              <w:t>8</w:t>
            </w:r>
          </w:p>
        </w:tc>
        <w:tc>
          <w:tcPr>
            <w:tcW w:w="1031" w:type="dxa"/>
            <w:vAlign w:val="center"/>
          </w:tcPr>
          <w:p w:rsidR="00336028" w:rsidRDefault="00775F5E">
            <w:pPr>
              <w:spacing w:before="240"/>
              <w:jc w:val="center"/>
              <w:outlineLvl w:val="0"/>
              <w:rPr>
                <w:rFonts w:ascii="宋体"/>
                <w:sz w:val="18"/>
                <w:szCs w:val="18"/>
              </w:rPr>
            </w:pPr>
            <w:r>
              <w:rPr>
                <w:rFonts w:ascii="宋体" w:hAnsi="宋体" w:hint="eastAsia"/>
                <w:sz w:val="18"/>
                <w:szCs w:val="18"/>
              </w:rPr>
              <w:t>春季学期</w:t>
            </w:r>
          </w:p>
        </w:tc>
        <w:tc>
          <w:tcPr>
            <w:tcW w:w="992" w:type="dxa"/>
            <w:vMerge/>
            <w:vAlign w:val="center"/>
          </w:tcPr>
          <w:p w:rsidR="00336028" w:rsidRDefault="00336028">
            <w:pPr>
              <w:spacing w:before="240"/>
              <w:jc w:val="center"/>
              <w:outlineLvl w:val="0"/>
              <w:rPr>
                <w:rFonts w:ascii="宋体"/>
                <w:b/>
                <w:sz w:val="18"/>
                <w:szCs w:val="18"/>
              </w:rPr>
            </w:pPr>
          </w:p>
        </w:tc>
      </w:tr>
      <w:tr w:rsidR="00336028">
        <w:trPr>
          <w:trHeight w:val="433"/>
        </w:trPr>
        <w:tc>
          <w:tcPr>
            <w:tcW w:w="5868" w:type="dxa"/>
            <w:gridSpan w:val="4"/>
            <w:vAlign w:val="center"/>
          </w:tcPr>
          <w:p w:rsidR="00336028" w:rsidRDefault="00775F5E">
            <w:pPr>
              <w:spacing w:before="240"/>
              <w:jc w:val="center"/>
              <w:outlineLvl w:val="0"/>
              <w:rPr>
                <w:rFonts w:ascii="宋体"/>
                <w:b/>
                <w:kern w:val="0"/>
                <w:sz w:val="18"/>
                <w:szCs w:val="18"/>
              </w:rPr>
            </w:pPr>
            <w:r>
              <w:rPr>
                <w:rFonts w:ascii="宋体" w:hAnsi="宋体" w:hint="eastAsia"/>
                <w:b/>
                <w:kern w:val="0"/>
                <w:sz w:val="18"/>
                <w:szCs w:val="18"/>
              </w:rPr>
              <w:t>合计</w:t>
            </w:r>
          </w:p>
        </w:tc>
        <w:tc>
          <w:tcPr>
            <w:tcW w:w="722" w:type="dxa"/>
            <w:vAlign w:val="center"/>
          </w:tcPr>
          <w:p w:rsidR="00336028" w:rsidRDefault="00CF77D5">
            <w:pPr>
              <w:spacing w:before="240"/>
              <w:jc w:val="center"/>
              <w:outlineLvl w:val="0"/>
              <w:rPr>
                <w:rFonts w:ascii="宋体"/>
                <w:b/>
                <w:kern w:val="0"/>
                <w:sz w:val="18"/>
                <w:szCs w:val="18"/>
              </w:rPr>
            </w:pPr>
            <w:r>
              <w:rPr>
                <w:rFonts w:ascii="宋体" w:hAnsi="宋体" w:hint="eastAsia"/>
                <w:sz w:val="18"/>
                <w:szCs w:val="18"/>
              </w:rPr>
              <w:t>62</w:t>
            </w:r>
          </w:p>
        </w:tc>
        <w:tc>
          <w:tcPr>
            <w:tcW w:w="1031" w:type="dxa"/>
            <w:vAlign w:val="center"/>
          </w:tcPr>
          <w:p w:rsidR="00336028" w:rsidRDefault="00336028">
            <w:pPr>
              <w:spacing w:before="240"/>
              <w:jc w:val="center"/>
              <w:outlineLvl w:val="0"/>
              <w:rPr>
                <w:rFonts w:ascii="宋体"/>
                <w:b/>
                <w:kern w:val="0"/>
                <w:sz w:val="18"/>
                <w:szCs w:val="18"/>
              </w:rPr>
            </w:pPr>
          </w:p>
        </w:tc>
        <w:tc>
          <w:tcPr>
            <w:tcW w:w="992" w:type="dxa"/>
            <w:vAlign w:val="center"/>
          </w:tcPr>
          <w:p w:rsidR="00336028" w:rsidRDefault="00336028">
            <w:pPr>
              <w:spacing w:before="240"/>
              <w:jc w:val="center"/>
              <w:outlineLvl w:val="0"/>
              <w:rPr>
                <w:rFonts w:ascii="宋体"/>
                <w:b/>
                <w:kern w:val="0"/>
                <w:sz w:val="18"/>
                <w:szCs w:val="18"/>
              </w:rPr>
            </w:pPr>
          </w:p>
        </w:tc>
      </w:tr>
    </w:tbl>
    <w:p w:rsidR="00336028" w:rsidRDefault="00775F5E">
      <w:pPr>
        <w:widowControl/>
        <w:snapToGrid w:val="0"/>
        <w:spacing w:line="360" w:lineRule="auto"/>
        <w:ind w:left="720" w:hanging="720"/>
        <w:rPr>
          <w:rFonts w:ascii="宋体"/>
          <w:sz w:val="18"/>
          <w:szCs w:val="18"/>
        </w:rPr>
      </w:pPr>
      <w:r>
        <w:rPr>
          <w:rFonts w:ascii="宋体" w:hAnsi="宋体"/>
          <w:sz w:val="18"/>
          <w:szCs w:val="18"/>
        </w:rPr>
        <w:t>*</w:t>
      </w:r>
      <w:r>
        <w:rPr>
          <w:rFonts w:ascii="宋体" w:hAnsi="宋体" w:hint="eastAsia"/>
          <w:sz w:val="18"/>
          <w:szCs w:val="18"/>
        </w:rPr>
        <w:t>开课学期按照春季学期、秋季学期、短</w:t>
      </w:r>
      <w:r>
        <w:rPr>
          <w:rFonts w:ascii="宋体" w:hAnsi="宋体"/>
          <w:sz w:val="18"/>
          <w:szCs w:val="18"/>
        </w:rPr>
        <w:t>X</w:t>
      </w:r>
      <w:r>
        <w:rPr>
          <w:rFonts w:ascii="宋体" w:hAnsi="宋体" w:hint="eastAsia"/>
          <w:sz w:val="18"/>
          <w:szCs w:val="18"/>
        </w:rPr>
        <w:t>学期填写</w:t>
      </w:r>
    </w:p>
    <w:p w:rsidR="00336028" w:rsidRDefault="00775F5E">
      <w:pPr>
        <w:widowControl/>
        <w:snapToGrid w:val="0"/>
        <w:spacing w:line="360" w:lineRule="auto"/>
        <w:ind w:left="720" w:hanging="720"/>
        <w:rPr>
          <w:rFonts w:ascii="宋体"/>
          <w:sz w:val="18"/>
          <w:szCs w:val="18"/>
        </w:rPr>
      </w:pPr>
      <w:r>
        <w:rPr>
          <w:rFonts w:ascii="宋体" w:hAnsi="宋体"/>
          <w:sz w:val="18"/>
          <w:szCs w:val="18"/>
        </w:rPr>
        <w:t>*</w:t>
      </w:r>
      <w:r>
        <w:rPr>
          <w:rFonts w:ascii="宋体" w:hAnsi="宋体" w:hint="eastAsia"/>
          <w:sz w:val="18"/>
          <w:szCs w:val="18"/>
        </w:rPr>
        <w:t>实践环节指短学期的集中实践和毕业设计（论文），毕业设计（论文）计</w:t>
      </w:r>
      <w:r w:rsidR="00CF77D5">
        <w:rPr>
          <w:rFonts w:ascii="宋体" w:hAnsi="宋体" w:hint="eastAsia"/>
          <w:sz w:val="18"/>
          <w:szCs w:val="18"/>
        </w:rPr>
        <w:t>9</w:t>
      </w:r>
      <w:r>
        <w:rPr>
          <w:rFonts w:ascii="宋体" w:hAnsi="宋体" w:hint="eastAsia"/>
          <w:sz w:val="18"/>
          <w:szCs w:val="18"/>
        </w:rPr>
        <w:t>学分</w:t>
      </w:r>
    </w:p>
    <w:p w:rsidR="00336028" w:rsidRDefault="00775F5E">
      <w:pPr>
        <w:widowControl/>
        <w:snapToGrid w:val="0"/>
        <w:spacing w:line="360" w:lineRule="auto"/>
        <w:ind w:left="720" w:hanging="720"/>
        <w:rPr>
          <w:rFonts w:ascii="宋体"/>
          <w:sz w:val="18"/>
          <w:szCs w:val="18"/>
        </w:rPr>
      </w:pPr>
      <w:r>
        <w:rPr>
          <w:rFonts w:ascii="宋体" w:hAnsi="宋体"/>
          <w:sz w:val="18"/>
          <w:szCs w:val="18"/>
        </w:rPr>
        <w:t>*</w:t>
      </w:r>
      <w:r>
        <w:rPr>
          <w:rFonts w:ascii="宋体" w:hAnsi="宋体" w:hint="eastAsia"/>
          <w:sz w:val="18"/>
          <w:szCs w:val="18"/>
        </w:rPr>
        <w:t>在大类培养方案中已有的课程，课程名称、课程代码必须与其保持一致（代码由教务处统一编排）</w:t>
      </w:r>
    </w:p>
    <w:p w:rsidR="00336028" w:rsidRDefault="00775F5E">
      <w:pPr>
        <w:widowControl/>
        <w:snapToGrid w:val="0"/>
        <w:spacing w:line="360" w:lineRule="auto"/>
        <w:ind w:left="720" w:hanging="720"/>
        <w:rPr>
          <w:rFonts w:ascii="宋体"/>
          <w:sz w:val="18"/>
          <w:szCs w:val="18"/>
        </w:rPr>
      </w:pPr>
      <w:r>
        <w:rPr>
          <w:rFonts w:ascii="宋体" w:hAnsi="宋体"/>
          <w:sz w:val="18"/>
          <w:szCs w:val="18"/>
        </w:rPr>
        <w:t>*</w:t>
      </w:r>
      <w:r>
        <w:rPr>
          <w:rFonts w:ascii="宋体" w:hAnsi="宋体" w:hint="eastAsia"/>
          <w:sz w:val="18"/>
          <w:szCs w:val="18"/>
        </w:rPr>
        <w:t>考虑选课人数等问题，课程设置尽量选择第一专业正常开设的课程，尽量避免开设新课</w:t>
      </w:r>
    </w:p>
    <w:p w:rsidR="00336028" w:rsidRDefault="00336028">
      <w:pPr>
        <w:widowControl/>
        <w:jc w:val="left"/>
        <w:rPr>
          <w:rFonts w:ascii="宋体" w:cs="黑体"/>
          <w:kern w:val="0"/>
          <w:sz w:val="32"/>
          <w:szCs w:val="32"/>
        </w:rPr>
      </w:pPr>
    </w:p>
    <w:p w:rsidR="00336028" w:rsidRDefault="00336028">
      <w:bookmarkStart w:id="0" w:name="_GoBack"/>
      <w:bookmarkEnd w:id="0"/>
    </w:p>
    <w:sectPr w:rsidR="00336028" w:rsidSect="00336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F5E" w:rsidRDefault="00775F5E" w:rsidP="00CF77D5">
      <w:r>
        <w:separator/>
      </w:r>
    </w:p>
  </w:endnote>
  <w:endnote w:type="continuationSeparator" w:id="1">
    <w:p w:rsidR="00775F5E" w:rsidRDefault="00775F5E" w:rsidP="00CF7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F5E" w:rsidRDefault="00775F5E" w:rsidP="00CF77D5">
      <w:r>
        <w:separator/>
      </w:r>
    </w:p>
  </w:footnote>
  <w:footnote w:type="continuationSeparator" w:id="1">
    <w:p w:rsidR="00775F5E" w:rsidRDefault="00775F5E" w:rsidP="00CF7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028"/>
    <w:rsid w:val="00336028"/>
    <w:rsid w:val="00775F5E"/>
    <w:rsid w:val="00CF77D5"/>
    <w:rsid w:val="404C371B"/>
    <w:rsid w:val="66F50C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02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336028"/>
    <w:pPr>
      <w:spacing w:before="240" w:after="60"/>
      <w:jc w:val="center"/>
      <w:outlineLvl w:val="0"/>
    </w:pPr>
    <w:rPr>
      <w:rFonts w:ascii="Cambria" w:hAnsi="Cambria"/>
      <w:b/>
      <w:bCs/>
      <w:sz w:val="32"/>
      <w:szCs w:val="32"/>
    </w:rPr>
  </w:style>
  <w:style w:type="paragraph" w:styleId="a4">
    <w:name w:val="header"/>
    <w:basedOn w:val="a"/>
    <w:link w:val="Char"/>
    <w:rsid w:val="00CF7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F77D5"/>
    <w:rPr>
      <w:rFonts w:ascii="Calibri" w:eastAsia="宋体" w:hAnsi="Calibri" w:cs="Times New Roman"/>
      <w:kern w:val="2"/>
      <w:sz w:val="18"/>
      <w:szCs w:val="18"/>
    </w:rPr>
  </w:style>
  <w:style w:type="paragraph" w:styleId="a5">
    <w:name w:val="footer"/>
    <w:basedOn w:val="a"/>
    <w:link w:val="Char0"/>
    <w:rsid w:val="00CF77D5"/>
    <w:pPr>
      <w:tabs>
        <w:tab w:val="center" w:pos="4153"/>
        <w:tab w:val="right" w:pos="8306"/>
      </w:tabs>
      <w:snapToGrid w:val="0"/>
      <w:jc w:val="left"/>
    </w:pPr>
    <w:rPr>
      <w:sz w:val="18"/>
      <w:szCs w:val="18"/>
    </w:rPr>
  </w:style>
  <w:style w:type="character" w:customStyle="1" w:styleId="Char0">
    <w:name w:val="页脚 Char"/>
    <w:basedOn w:val="a0"/>
    <w:link w:val="a5"/>
    <w:rsid w:val="00CF77D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226</Words>
  <Characters>1290</Characters>
  <Application>Microsoft Office Word</Application>
  <DocSecurity>0</DocSecurity>
  <Lines>10</Lines>
  <Paragraphs>3</Paragraphs>
  <ScaleCrop>false</ScaleCrop>
  <Company>China</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2014-10-29T12:08:00Z</dcterms:created>
  <dcterms:modified xsi:type="dcterms:W3CDTF">2017-12-06T02:39:00Z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