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16" w:rsidRDefault="00E620BD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茅以升学院本科生辅修</w:t>
      </w:r>
      <w:r>
        <w:rPr>
          <w:rFonts w:ascii="黑体" w:eastAsia="黑体" w:hAnsi="黑体" w:hint="eastAsia"/>
          <w:b/>
          <w:sz w:val="32"/>
          <w:szCs w:val="32"/>
        </w:rPr>
        <w:t>金融学</w:t>
      </w:r>
      <w:r>
        <w:rPr>
          <w:rFonts w:ascii="黑体" w:eastAsia="黑体" w:hAnsi="黑体" w:hint="eastAsia"/>
          <w:b/>
          <w:sz w:val="32"/>
          <w:szCs w:val="32"/>
        </w:rPr>
        <w:t>专业辅修培养方案</w:t>
      </w:r>
      <w:r>
        <w:rPr>
          <w:rFonts w:hint="eastAsia"/>
          <w:szCs w:val="21"/>
        </w:rPr>
        <w:t> </w:t>
      </w:r>
    </w:p>
    <w:p w:rsidR="00BD5116" w:rsidRDefault="00E620BD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培养目标</w:t>
      </w:r>
    </w:p>
    <w:p w:rsidR="00BD5116" w:rsidRDefault="00E620BD">
      <w:pPr>
        <w:widowControl/>
        <w:snapToGrid w:val="0"/>
        <w:spacing w:before="24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要求学生基本掌握金融学专业的基础知识、基本理论、基本技能以及相邻专业的基本知识；有较深厚的金融学、统计学和信息计算科学理论基础，并有较强的金融大数据分析能力；知识面宽广，具有独立获取知识、提出问题、分析问题和解决问题的能力及创新精神。培养学生成为具有扎实金融数据分析和管理专业知识的复合型人才。</w:t>
      </w:r>
    </w:p>
    <w:p w:rsidR="00BD5116" w:rsidRDefault="00E620BD">
      <w:pPr>
        <w:widowControl/>
        <w:snapToGrid w:val="0"/>
        <w:spacing w:before="240" w:line="360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二、培养要求</w:t>
      </w:r>
      <w:bookmarkStart w:id="0" w:name="_GoBack"/>
      <w:bookmarkEnd w:id="0"/>
    </w:p>
    <w:p w:rsidR="00BD5116" w:rsidRDefault="00E620BD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本专业的学生主要学习金融市场、公司金融、银行、证券、保险以及金融大数据分析等方面的基本理论和基础知识，毕业生应获得以下两方面的知识与能力：</w:t>
      </w:r>
      <w:r>
        <w:rPr>
          <w:rFonts w:ascii="Times New Roman" w:eastAsia="宋体" w:hAnsi="Times New Roman" w:cs="Times New Roman" w:hint="eastAsia"/>
          <w:szCs w:val="21"/>
        </w:rPr>
        <w:t> </w:t>
      </w:r>
    </w:p>
    <w:p w:rsidR="00BD5116" w:rsidRDefault="00E620BD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、掌握金融学、统计和信息科学的基本理论、基础知识；</w:t>
      </w:r>
    </w:p>
    <w:p w:rsidR="00BD5116" w:rsidRDefault="00E620BD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 </w:t>
      </w:r>
      <w:r>
        <w:rPr>
          <w:rFonts w:ascii="Times New Roman" w:eastAsia="宋体" w:hAnsi="Times New Roman" w:cs="Times New Roman" w:hint="eastAsia"/>
          <w:szCs w:val="21"/>
        </w:rPr>
        <w:t>具有进行银行、证券、保险和其它金融企业大数据的分析、处理和管理业务专业能力。</w:t>
      </w:r>
    </w:p>
    <w:p w:rsidR="00BD5116" w:rsidRDefault="00E620BD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三、学分要求</w:t>
      </w:r>
    </w:p>
    <w:p w:rsidR="00BD5116" w:rsidRDefault="00E620BD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修满本专业的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专业必课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24</w:t>
      </w:r>
      <w:r>
        <w:rPr>
          <w:rFonts w:ascii="Times New Roman" w:eastAsia="宋体" w:hAnsi="Times New Roman" w:cs="Times New Roman" w:hint="eastAsia"/>
          <w:szCs w:val="21"/>
        </w:rPr>
        <w:t>学分和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专业限课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学分（合计</w:t>
      </w:r>
      <w:r>
        <w:rPr>
          <w:rFonts w:ascii="Times New Roman" w:eastAsia="宋体" w:hAnsi="Times New Roman" w:cs="Times New Roman" w:hint="eastAsia"/>
          <w:szCs w:val="21"/>
        </w:rPr>
        <w:t>30</w:t>
      </w:r>
      <w:r>
        <w:rPr>
          <w:rFonts w:ascii="Times New Roman" w:eastAsia="宋体" w:hAnsi="Times New Roman" w:cs="Times New Roman" w:hint="eastAsia"/>
          <w:szCs w:val="21"/>
        </w:rPr>
        <w:t>学分），</w:t>
      </w:r>
      <w:r>
        <w:rPr>
          <w:rFonts w:ascii="Times New Roman" w:eastAsia="宋体" w:hAnsi="Times New Roman" w:cs="Times New Roman"/>
          <w:szCs w:val="21"/>
        </w:rPr>
        <w:t>并符合《西南交通大学本科生辅修与双学位管理办法》规定者，方可颁发本专业辅修证书。</w:t>
      </w:r>
    </w:p>
    <w:p w:rsidR="00BD5116" w:rsidRDefault="00E620BD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四、课程设置</w:t>
      </w:r>
    </w:p>
    <w:tbl>
      <w:tblPr>
        <w:tblStyle w:val="1"/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1712"/>
        <w:gridCol w:w="2083"/>
        <w:gridCol w:w="1434"/>
        <w:gridCol w:w="895"/>
        <w:gridCol w:w="1116"/>
        <w:gridCol w:w="1116"/>
      </w:tblGrid>
      <w:tr w:rsidR="00BD5116">
        <w:trPr>
          <w:trHeight w:val="340"/>
          <w:jc w:val="center"/>
        </w:trPr>
        <w:tc>
          <w:tcPr>
            <w:tcW w:w="1712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083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 w:val="restart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专业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</w:t>
            </w:r>
          </w:p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财务管理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商业银行经营管理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金融数据分析案例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证券投资分析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 w:val="restart"/>
            <w:vAlign w:val="center"/>
          </w:tcPr>
          <w:p w:rsidR="00BD5116" w:rsidRDefault="00E620BD">
            <w:pPr>
              <w:jc w:val="center"/>
              <w:outlineLvl w:val="0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限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</w:t>
            </w:r>
          </w:p>
          <w:p w:rsidR="00BD5116" w:rsidRDefault="00E620BD" w:rsidP="005F38BC">
            <w:pPr>
              <w:ind w:left="211" w:hangingChars="100" w:hanging="211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共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数据建模技术</w:t>
            </w:r>
          </w:p>
        </w:tc>
        <w:tc>
          <w:tcPr>
            <w:tcW w:w="1434" w:type="dxa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信息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大数据处理技术</w:t>
            </w:r>
          </w:p>
        </w:tc>
        <w:tc>
          <w:tcPr>
            <w:tcW w:w="1434" w:type="dxa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信息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adjustRightInd w:val="0"/>
              <w:snapToGrid w:val="0"/>
              <w:jc w:val="center"/>
              <w:outlineLvl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1712" w:type="dxa"/>
            <w:vMerge/>
            <w:vAlign w:val="center"/>
          </w:tcPr>
          <w:p w:rsidR="00BD5116" w:rsidRDefault="00BD511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BD5116" w:rsidRDefault="00E620B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网络金融</w:t>
            </w:r>
          </w:p>
        </w:tc>
        <w:tc>
          <w:tcPr>
            <w:tcW w:w="1434" w:type="dxa"/>
            <w:vAlign w:val="center"/>
          </w:tcPr>
          <w:p w:rsidR="00BD5116" w:rsidRDefault="00E620BD">
            <w:pPr>
              <w:jc w:val="center"/>
              <w:outlineLvl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</w:t>
            </w:r>
          </w:p>
        </w:tc>
        <w:tc>
          <w:tcPr>
            <w:tcW w:w="895" w:type="dxa"/>
            <w:vAlign w:val="center"/>
          </w:tcPr>
          <w:p w:rsidR="00BD5116" w:rsidRDefault="00E620BD">
            <w:pPr>
              <w:jc w:val="center"/>
              <w:outlineLvl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春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BD5116" w:rsidRDefault="00E620BD">
            <w:pPr>
              <w:jc w:val="center"/>
              <w:outlineLvl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经管</w:t>
            </w:r>
          </w:p>
        </w:tc>
      </w:tr>
      <w:tr w:rsidR="00BD5116">
        <w:trPr>
          <w:trHeight w:val="340"/>
          <w:jc w:val="center"/>
        </w:trPr>
        <w:tc>
          <w:tcPr>
            <w:tcW w:w="5229" w:type="dxa"/>
            <w:gridSpan w:val="3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BD5116" w:rsidRDefault="00E620B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</w:tr>
    </w:tbl>
    <w:p w:rsidR="00BD5116" w:rsidRDefault="00BD5116">
      <w:pPr>
        <w:widowControl/>
        <w:snapToGrid w:val="0"/>
        <w:spacing w:line="360" w:lineRule="auto"/>
        <w:rPr>
          <w:rFonts w:ascii="宋体" w:eastAsia="宋体" w:hAnsi="宋体"/>
          <w:szCs w:val="21"/>
        </w:rPr>
      </w:pPr>
    </w:p>
    <w:sectPr w:rsidR="00BD5116" w:rsidSect="005F38BC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BD" w:rsidRDefault="00E620BD" w:rsidP="005F38BC">
      <w:r>
        <w:separator/>
      </w:r>
    </w:p>
  </w:endnote>
  <w:endnote w:type="continuationSeparator" w:id="0">
    <w:p w:rsidR="00E620BD" w:rsidRDefault="00E620BD" w:rsidP="005F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BD" w:rsidRDefault="00E620BD" w:rsidP="005F38BC">
      <w:r>
        <w:separator/>
      </w:r>
    </w:p>
  </w:footnote>
  <w:footnote w:type="continuationSeparator" w:id="0">
    <w:p w:rsidR="00E620BD" w:rsidRDefault="00E620BD" w:rsidP="005F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75C2"/>
    <w:rsid w:val="001E49E8"/>
    <w:rsid w:val="002B0728"/>
    <w:rsid w:val="00364EA2"/>
    <w:rsid w:val="00425FEE"/>
    <w:rsid w:val="00464EE3"/>
    <w:rsid w:val="00560F1F"/>
    <w:rsid w:val="00590DBC"/>
    <w:rsid w:val="005D4537"/>
    <w:rsid w:val="005F38BC"/>
    <w:rsid w:val="006C0BD0"/>
    <w:rsid w:val="0071363C"/>
    <w:rsid w:val="00727EFD"/>
    <w:rsid w:val="007A7643"/>
    <w:rsid w:val="007C3461"/>
    <w:rsid w:val="007D082A"/>
    <w:rsid w:val="00984BE0"/>
    <w:rsid w:val="009C0CFF"/>
    <w:rsid w:val="00AD2DE7"/>
    <w:rsid w:val="00B633A4"/>
    <w:rsid w:val="00B637D6"/>
    <w:rsid w:val="00B824F8"/>
    <w:rsid w:val="00BD5116"/>
    <w:rsid w:val="00BE5385"/>
    <w:rsid w:val="00C00E93"/>
    <w:rsid w:val="00C030F3"/>
    <w:rsid w:val="00E620BD"/>
    <w:rsid w:val="00E84953"/>
    <w:rsid w:val="00F24263"/>
    <w:rsid w:val="3ADD1D25"/>
    <w:rsid w:val="3D3F6D1E"/>
    <w:rsid w:val="42D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luojie</cp:lastModifiedBy>
  <cp:revision>2</cp:revision>
  <cp:lastPrinted>2017-09-22T06:46:00Z</cp:lastPrinted>
  <dcterms:created xsi:type="dcterms:W3CDTF">2017-11-01T08:37:00Z</dcterms:created>
  <dcterms:modified xsi:type="dcterms:W3CDTF">2017-11-01T08:37:00Z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