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83" w:rsidRDefault="006321C5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汉语国际教育专业辅修培养方案</w:t>
      </w:r>
      <w:r>
        <w:rPr>
          <w:rFonts w:hint="eastAsia"/>
          <w:szCs w:val="21"/>
        </w:rPr>
        <w:t> </w:t>
      </w:r>
    </w:p>
    <w:p w:rsidR="008F0383" w:rsidRDefault="006321C5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8F0383" w:rsidRDefault="006321C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hAnsi="宋体" w:cs="微软雅黑" w:hint="eastAsia"/>
          <w:szCs w:val="21"/>
        </w:rPr>
        <w:t>通过系统的教育与训练，培养具有扎实的汉语</w:t>
      </w:r>
      <w:proofErr w:type="gramStart"/>
      <w:r>
        <w:rPr>
          <w:rFonts w:ascii="宋体" w:eastAsia="宋体" w:hAnsi="宋体" w:cs="微软雅黑" w:hint="eastAsia"/>
          <w:szCs w:val="21"/>
        </w:rPr>
        <w:t>言基础</w:t>
      </w:r>
      <w:proofErr w:type="gramEnd"/>
      <w:r>
        <w:rPr>
          <w:rFonts w:ascii="宋体" w:eastAsia="宋体" w:hAnsi="宋体" w:cs="微软雅黑" w:hint="eastAsia"/>
          <w:szCs w:val="21"/>
        </w:rPr>
        <w:t>知识，英语听说读写熟练，具</w:t>
      </w:r>
      <w:r>
        <w:rPr>
          <w:rFonts w:ascii="宋体" w:eastAsia="宋体" w:cs="宋体" w:hint="eastAsia"/>
          <w:kern w:val="0"/>
          <w:sz w:val="22"/>
        </w:rPr>
        <w:t>有较高的人文素养，具备中国文学、文化、跨文化交际及对外汉语教学等方面的专业知识与能力，</w:t>
      </w:r>
      <w:r>
        <w:rPr>
          <w:rFonts w:hint="eastAsia"/>
          <w:sz w:val="24"/>
          <w:szCs w:val="24"/>
        </w:rPr>
        <w:t>适应汉语国际推广工作，胜任汉语作为第二语言</w:t>
      </w:r>
      <w:r>
        <w:rPr>
          <w:rFonts w:cs="Times New Roman"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外语教学的应用型、复合型、国际化的汉语国际教育人才。</w:t>
      </w:r>
    </w:p>
    <w:p w:rsidR="008F0383" w:rsidRDefault="006321C5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二、培养要求</w:t>
      </w:r>
    </w:p>
    <w:p w:rsidR="008F0383" w:rsidRDefault="006321C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hAnsi="宋体" w:cs="微软雅黑" w:hint="eastAsia"/>
          <w:szCs w:val="21"/>
        </w:rPr>
        <w:t>要求学生具有扎实的汉语</w:t>
      </w:r>
      <w:proofErr w:type="gramStart"/>
      <w:r>
        <w:rPr>
          <w:rFonts w:ascii="宋体" w:eastAsia="宋体" w:hAnsi="宋体" w:cs="微软雅黑" w:hint="eastAsia"/>
          <w:szCs w:val="21"/>
        </w:rPr>
        <w:t>言文化</w:t>
      </w:r>
      <w:proofErr w:type="gramEnd"/>
      <w:r>
        <w:rPr>
          <w:rFonts w:ascii="宋体" w:eastAsia="宋体" w:hAnsi="宋体" w:cs="微软雅黑" w:hint="eastAsia"/>
          <w:szCs w:val="21"/>
        </w:rPr>
        <w:t>知识、有较强的汉语口头表达和写作能力，能讲</w:t>
      </w:r>
      <w:r>
        <w:rPr>
          <w:rFonts w:hint="eastAsia"/>
          <w:sz w:val="24"/>
          <w:szCs w:val="24"/>
        </w:rPr>
        <w:t>标准的普通话，能规范地使用汉字。</w:t>
      </w:r>
      <w:r>
        <w:rPr>
          <w:rFonts w:ascii="宋体" w:eastAsia="宋体" w:cs="宋体" w:hint="eastAsia"/>
          <w:kern w:val="0"/>
          <w:sz w:val="22"/>
        </w:rPr>
        <w:t>此外</w:t>
      </w:r>
      <w:r>
        <w:rPr>
          <w:rFonts w:hint="eastAsia"/>
          <w:sz w:val="24"/>
          <w:szCs w:val="24"/>
        </w:rPr>
        <w:t>，学生还应具备熟练的汉语作为第二语言</w:t>
      </w:r>
      <w:r>
        <w:rPr>
          <w:rFonts w:cs="Times New Roman"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外语教学的技能、较强的外语口语能力，以及跨文化交际能力。</w:t>
      </w:r>
    </w:p>
    <w:p w:rsidR="008F0383" w:rsidRDefault="006321C5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</w:p>
    <w:p w:rsidR="008F0383" w:rsidRDefault="006321C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选本专业为辅</w:t>
      </w:r>
      <w:proofErr w:type="gramStart"/>
      <w:r>
        <w:rPr>
          <w:rFonts w:ascii="宋体" w:eastAsia="宋体" w:hAnsi="宋体" w:cs="微软雅黑" w:hint="eastAsia"/>
          <w:szCs w:val="21"/>
        </w:rPr>
        <w:t>修专业</w:t>
      </w:r>
      <w:proofErr w:type="gramEnd"/>
      <w:r>
        <w:rPr>
          <w:rFonts w:ascii="宋体" w:eastAsia="宋体" w:hAnsi="宋体" w:cs="微软雅黑" w:hint="eastAsia"/>
          <w:szCs w:val="21"/>
        </w:rPr>
        <w:t>的学生应修学本专业的40学分核心必修课，并符合《西南交通大学本科生辅修与双学位管理办法》规定者，方可颁发本专业辅修证书。</w:t>
      </w:r>
    </w:p>
    <w:p w:rsidR="008F0383" w:rsidRDefault="006321C5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Style w:val="1"/>
        <w:tblW w:w="8774" w:type="dxa"/>
        <w:jc w:val="center"/>
        <w:tblInd w:w="-183" w:type="dxa"/>
        <w:tblLayout w:type="fixed"/>
        <w:tblLook w:val="04A0" w:firstRow="1" w:lastRow="0" w:firstColumn="1" w:lastColumn="0" w:noHBand="0" w:noVBand="1"/>
      </w:tblPr>
      <w:tblGrid>
        <w:gridCol w:w="1479"/>
        <w:gridCol w:w="2871"/>
        <w:gridCol w:w="1434"/>
        <w:gridCol w:w="758"/>
        <w:gridCol w:w="1205"/>
        <w:gridCol w:w="1027"/>
      </w:tblGrid>
      <w:tr w:rsidR="008F0383" w:rsidTr="000E06B4">
        <w:trPr>
          <w:trHeight w:val="340"/>
          <w:jc w:val="center"/>
        </w:trPr>
        <w:tc>
          <w:tcPr>
            <w:tcW w:w="1479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学科基础课程</w:t>
            </w:r>
          </w:p>
          <w:p w:rsidR="008F0383" w:rsidRDefault="006321C5" w:rsidP="00A70D1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必修 16 学分</w:t>
            </w: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现代汉语I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0E06B4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秋季学期</w:t>
            </w:r>
          </w:p>
          <w:p w:rsidR="008F0383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（1学期）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现代汉语II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0E06B4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春季学期</w:t>
            </w:r>
          </w:p>
          <w:p w:rsidR="008F0383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（2学期）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古代汉语I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秋季学期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（1学期）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ind w:firstLineChars="250" w:firstLine="45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古代汉语II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春季学期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（2学期）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专业基础课</w:t>
            </w:r>
          </w:p>
          <w:p w:rsidR="008F0383" w:rsidRDefault="006321C5" w:rsidP="00A70D1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必修18学分</w:t>
            </w: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中国传统文学经典作品选读I</w:t>
            </w:r>
          </w:p>
        </w:tc>
        <w:tc>
          <w:tcPr>
            <w:tcW w:w="1434" w:type="dxa"/>
            <w:vAlign w:val="center"/>
          </w:tcPr>
          <w:p w:rsidR="008F0383" w:rsidRDefault="006321C5" w:rsidP="00A70D1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秋季学期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（3学期）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中国传统文学经典作品选读II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春季学期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（4学期）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中国传统文学经典作品选读III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0E06B4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秋季学期</w:t>
            </w:r>
          </w:p>
          <w:p w:rsidR="008F0383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（5学期）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中国传统文学经典作品选读IV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春季学期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（6学期）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教育理论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春季学期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（4学期）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8F0383" w:rsidRDefault="006321C5">
            <w:pPr>
              <w:ind w:left="181" w:hangingChars="100" w:hanging="181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lastRenderedPageBreak/>
              <w:t>专业课</w:t>
            </w:r>
          </w:p>
          <w:p w:rsidR="008F0383" w:rsidRDefault="006321C5" w:rsidP="00A70D13">
            <w:pPr>
              <w:ind w:left="181" w:hangingChars="100" w:hanging="181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必修6学分</w:t>
            </w: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对外汉语教学概论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春季学期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（6学期）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  <w:bookmarkStart w:id="0" w:name="_GoBack"/>
        <w:bookmarkEnd w:id="0"/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中国传统语言学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秋季学期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（5学期）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0E06B4">
        <w:trPr>
          <w:trHeight w:val="340"/>
          <w:jc w:val="center"/>
        </w:trPr>
        <w:tc>
          <w:tcPr>
            <w:tcW w:w="1479" w:type="dxa"/>
            <w:vMerge/>
            <w:vAlign w:val="center"/>
          </w:tcPr>
          <w:p w:rsidR="008F0383" w:rsidRDefault="008F0383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1434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758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:rsidR="008F0383" w:rsidRDefault="006321C5">
            <w:pPr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秋季学期</w:t>
            </w:r>
          </w:p>
          <w:p w:rsidR="000E06B4" w:rsidRDefault="000E06B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（5学期）</w:t>
            </w:r>
          </w:p>
        </w:tc>
        <w:tc>
          <w:tcPr>
            <w:tcW w:w="1027" w:type="dxa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8F0383" w:rsidTr="00A70D13">
        <w:trPr>
          <w:trHeight w:val="340"/>
          <w:jc w:val="center"/>
        </w:trPr>
        <w:tc>
          <w:tcPr>
            <w:tcW w:w="5784" w:type="dxa"/>
            <w:gridSpan w:val="3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2990" w:type="dxa"/>
            <w:gridSpan w:val="3"/>
            <w:vAlign w:val="center"/>
          </w:tcPr>
          <w:p w:rsidR="008F0383" w:rsidRDefault="006321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40</w:t>
            </w:r>
          </w:p>
        </w:tc>
      </w:tr>
    </w:tbl>
    <w:p w:rsidR="008F0383" w:rsidRDefault="008F0383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8F0383" w:rsidRDefault="008F0383" w:rsidP="00A70D13">
      <w:pPr>
        <w:widowControl/>
        <w:snapToGrid w:val="0"/>
        <w:spacing w:line="360" w:lineRule="auto"/>
        <w:rPr>
          <w:rFonts w:ascii="宋体" w:eastAsia="宋体" w:hAnsi="宋体"/>
          <w:szCs w:val="21"/>
        </w:rPr>
      </w:pPr>
    </w:p>
    <w:sectPr w:rsidR="008F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2E" w:rsidRDefault="00DA472E" w:rsidP="00A70D13">
      <w:r>
        <w:separator/>
      </w:r>
    </w:p>
  </w:endnote>
  <w:endnote w:type="continuationSeparator" w:id="0">
    <w:p w:rsidR="00DA472E" w:rsidRDefault="00DA472E" w:rsidP="00A7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2E" w:rsidRDefault="00DA472E" w:rsidP="00A70D13">
      <w:r>
        <w:separator/>
      </w:r>
    </w:p>
  </w:footnote>
  <w:footnote w:type="continuationSeparator" w:id="0">
    <w:p w:rsidR="00DA472E" w:rsidRDefault="00DA472E" w:rsidP="00A70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42B59"/>
    <w:rsid w:val="00060B5A"/>
    <w:rsid w:val="000675C2"/>
    <w:rsid w:val="000E06B4"/>
    <w:rsid w:val="002B0728"/>
    <w:rsid w:val="00364EA2"/>
    <w:rsid w:val="00425FEE"/>
    <w:rsid w:val="004970C4"/>
    <w:rsid w:val="005D4537"/>
    <w:rsid w:val="006321C5"/>
    <w:rsid w:val="006C0BD0"/>
    <w:rsid w:val="0071363C"/>
    <w:rsid w:val="00727EFD"/>
    <w:rsid w:val="007A7643"/>
    <w:rsid w:val="007C3461"/>
    <w:rsid w:val="008F0383"/>
    <w:rsid w:val="00984BE0"/>
    <w:rsid w:val="009C0CFF"/>
    <w:rsid w:val="00A70D13"/>
    <w:rsid w:val="00AF477F"/>
    <w:rsid w:val="00B16914"/>
    <w:rsid w:val="00B633A4"/>
    <w:rsid w:val="00B637D6"/>
    <w:rsid w:val="00B824F8"/>
    <w:rsid w:val="00C00E93"/>
    <w:rsid w:val="00DA472E"/>
    <w:rsid w:val="00E84953"/>
    <w:rsid w:val="46D02371"/>
    <w:rsid w:val="4C1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jk">
    <w:name w:val="cjk"/>
    <w:basedOn w:val="a"/>
    <w:pPr>
      <w:widowControl/>
      <w:spacing w:before="100" w:beforeAutospacing="1" w:after="142" w:line="288" w:lineRule="auto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jk">
    <w:name w:val="cjk"/>
    <w:basedOn w:val="a"/>
    <w:pPr>
      <w:widowControl/>
      <w:spacing w:before="100" w:beforeAutospacing="1" w:after="142" w:line="288" w:lineRule="auto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lenovo</cp:lastModifiedBy>
  <cp:revision>3</cp:revision>
  <cp:lastPrinted>2017-09-22T06:46:00Z</cp:lastPrinted>
  <dcterms:created xsi:type="dcterms:W3CDTF">2017-10-29T14:13:00Z</dcterms:created>
  <dcterms:modified xsi:type="dcterms:W3CDTF">2017-10-31T03:53:00Z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