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B8" w:rsidRDefault="0038737E">
      <w:pPr>
        <w:widowControl/>
        <w:snapToGrid w:val="0"/>
        <w:spacing w:line="360" w:lineRule="auto"/>
        <w:jc w:val="center"/>
        <w:rPr>
          <w:rFonts w:ascii="黑体" w:eastAsia="黑体" w:hAnsi="黑体"/>
          <w:b/>
          <w:sz w:val="32"/>
          <w:szCs w:val="32"/>
        </w:rPr>
      </w:pPr>
      <w:r>
        <w:rPr>
          <w:rFonts w:ascii="黑体" w:eastAsia="黑体" w:hAnsi="黑体" w:hint="eastAsia"/>
          <w:b/>
          <w:sz w:val="32"/>
          <w:szCs w:val="32"/>
        </w:rPr>
        <w:t>交通运输专业辅修培养方案</w:t>
      </w:r>
      <w:r>
        <w:rPr>
          <w:rFonts w:hint="eastAsia"/>
          <w:szCs w:val="21"/>
        </w:rPr>
        <w:t> </w:t>
      </w:r>
    </w:p>
    <w:p w:rsidR="00621CB8" w:rsidRDefault="0038737E">
      <w:pPr>
        <w:pStyle w:val="10"/>
        <w:widowControl/>
        <w:numPr>
          <w:ilvl w:val="0"/>
          <w:numId w:val="1"/>
        </w:numPr>
        <w:snapToGrid w:val="0"/>
        <w:spacing w:line="360" w:lineRule="auto"/>
        <w:ind w:firstLineChars="0"/>
        <w:jc w:val="left"/>
        <w:rPr>
          <w:rFonts w:ascii="黑体" w:eastAsia="黑体" w:hAnsi="黑体"/>
          <w:sz w:val="28"/>
          <w:szCs w:val="28"/>
        </w:rPr>
      </w:pPr>
      <w:r>
        <w:rPr>
          <w:rFonts w:ascii="黑体" w:eastAsia="黑体" w:hAnsi="黑体" w:hint="eastAsia"/>
          <w:sz w:val="28"/>
          <w:szCs w:val="28"/>
        </w:rPr>
        <w:t>培养目标</w:t>
      </w:r>
    </w:p>
    <w:p w:rsidR="00621CB8" w:rsidRDefault="0038737E" w:rsidP="0038737E">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培养适应社会主义现代化建设需要，德、智、体、美全面发展，创新精神和实践能力突出，具有综合运输系统思想，“基础厚、能力强、后劲足”的交通运输领域特别是铁路运输和城市轨道交通方向的高级管理人员、高级规划设计人员、工程技术人员和科研人员。</w:t>
      </w:r>
    </w:p>
    <w:p w:rsidR="00621CB8" w:rsidRDefault="0038737E">
      <w:pPr>
        <w:widowControl/>
        <w:snapToGrid w:val="0"/>
        <w:spacing w:before="240" w:line="360" w:lineRule="auto"/>
        <w:rPr>
          <w:rFonts w:ascii="黑体" w:eastAsia="黑体" w:hAnsi="黑体"/>
          <w:sz w:val="28"/>
          <w:szCs w:val="28"/>
        </w:rPr>
      </w:pPr>
      <w:r>
        <w:rPr>
          <w:rFonts w:ascii="黑体" w:eastAsia="黑体" w:hAnsi="黑体" w:hint="eastAsia"/>
          <w:sz w:val="28"/>
          <w:szCs w:val="28"/>
        </w:rPr>
        <w:t>二、培养要求</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1.</w:t>
      </w:r>
      <w:r>
        <w:rPr>
          <w:rFonts w:ascii="宋体" w:eastAsia="宋体" w:hAnsi="宋体" w:cs="微软雅黑" w:hint="eastAsia"/>
          <w:szCs w:val="21"/>
        </w:rPr>
        <w:t>知识结构要求：涵盖工具性知识、人文及管理知识、自然科学知识、专业技术基础知识和专业知识。</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具备政治、语言、文学等人文社科基础知识；</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具备数学、物理等自然科学以及经济管理知识；</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具备铁路行车组织、铁路车站及枢纽、铁路货物运输组织、铁路旅客运输组织与管理的基础理论和设计知识，具有系统的工程实践学习经历；</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了解交通运输学科前沿发展现状和趋势，掌握其基本思维与基本研究方法；</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掌握自底向上和自顶向下的问题分析方法；</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具备交通运输领域的专业基础知识以及交通运输设备和技术的相关知识。</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2.</w:t>
      </w:r>
      <w:r>
        <w:rPr>
          <w:rFonts w:ascii="宋体" w:eastAsia="宋体" w:hAnsi="宋体" w:cs="微软雅黑" w:hint="eastAsia"/>
          <w:szCs w:val="21"/>
        </w:rPr>
        <w:t>能力结构要求：具备获取知识的能力、应用知识的能力、实践动手能力、创新能力和组织协调能力知识要求。</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具有信息检索、阅读及撰写科技论文与技术报告的能力；</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具有国际视野和跨文化的交流、竞争与合作能力；</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具有一定的</w:t>
      </w:r>
      <w:r>
        <w:rPr>
          <w:rFonts w:ascii="宋体" w:eastAsia="宋体" w:hAnsi="宋体" w:cs="微软雅黑" w:hint="eastAsia"/>
          <w:szCs w:val="21"/>
        </w:rPr>
        <w:t>组织管理能力、表达能力和人际交往能力及在团队中发挥作用的能力；</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具备交通运输技术和设备的运用、操作能力，以及设计和实施工程实验能力，能够对实验结果进行分析；</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掌握基本的创新方法，具有综合运用理论和技术手段设计系统和过程的能力，设计过程中能够综合考虑各种制约因素；</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对终身学习有正确认识，具备不断学习和适应发展的能力；</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具备一定的创业和择业能力。</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3.</w:t>
      </w:r>
      <w:r>
        <w:rPr>
          <w:rFonts w:ascii="宋体" w:eastAsia="宋体" w:hAnsi="宋体" w:cs="微软雅黑" w:hint="eastAsia"/>
          <w:szCs w:val="21"/>
        </w:rPr>
        <w:t>素质结构要求：具备思想道德素质、文化素质、专业素质和身心素质。</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具备人文社会科学素养、社会责任感和交通运输工程师职业道德；</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具备求实创新态度和意识，以及严谨科学素养；</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了解本专业相关的方针、政策、法律法规，正确认识交通运输学科及其技术对客观世界及社会的影响；</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具备工程实践观、效益意识及交通运输基本认识；</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lastRenderedPageBreak/>
        <w:t>具备良好的身体素质和心理素质，身心健康；</w:t>
      </w:r>
    </w:p>
    <w:p w:rsidR="00621CB8" w:rsidRDefault="0038737E">
      <w:pPr>
        <w:widowControl/>
        <w:snapToGrid w:val="0"/>
        <w:spacing w:line="360" w:lineRule="auto"/>
        <w:ind w:firstLineChars="200" w:firstLine="420"/>
        <w:jc w:val="left"/>
        <w:rPr>
          <w:rFonts w:ascii="宋体" w:eastAsia="宋体" w:hAnsi="宋体" w:cs="微软雅黑"/>
          <w:szCs w:val="21"/>
        </w:rPr>
      </w:pPr>
      <w:r>
        <w:rPr>
          <w:rFonts w:ascii="宋体" w:eastAsia="宋体" w:hAnsi="宋体" w:cs="微软雅黑" w:hint="eastAsia"/>
          <w:szCs w:val="21"/>
        </w:rPr>
        <w:t>具备良好的工程意识和一定的工程素养。</w:t>
      </w:r>
    </w:p>
    <w:p w:rsidR="00621CB8" w:rsidRDefault="0038737E">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三、学分要求</w:t>
      </w:r>
    </w:p>
    <w:p w:rsidR="00621CB8" w:rsidRDefault="0038737E" w:rsidP="0038737E">
      <w:pPr>
        <w:widowControl/>
        <w:snapToGrid w:val="0"/>
        <w:spacing w:beforeLines="50" w:before="156" w:afterLines="50" w:after="156" w:line="360" w:lineRule="auto"/>
        <w:ind w:firstLineChars="200" w:firstLine="420"/>
        <w:jc w:val="left"/>
        <w:rPr>
          <w:rFonts w:ascii="宋体" w:eastAsia="宋体" w:hAnsi="宋体" w:cs="微软雅黑"/>
          <w:szCs w:val="21"/>
        </w:rPr>
      </w:pPr>
      <w:r>
        <w:rPr>
          <w:rFonts w:ascii="宋体" w:eastAsia="宋体" w:hAnsi="宋体" w:cs="微软雅黑" w:hint="eastAsia"/>
          <w:szCs w:val="21"/>
        </w:rPr>
        <w:t>选本专业为辅</w:t>
      </w:r>
      <w:proofErr w:type="gramStart"/>
      <w:r>
        <w:rPr>
          <w:rFonts w:ascii="宋体" w:eastAsia="宋体" w:hAnsi="宋体" w:cs="微软雅黑" w:hint="eastAsia"/>
          <w:szCs w:val="21"/>
        </w:rPr>
        <w:t>修专业</w:t>
      </w:r>
      <w:proofErr w:type="gramEnd"/>
      <w:r>
        <w:rPr>
          <w:rFonts w:ascii="宋体" w:eastAsia="宋体" w:hAnsi="宋体" w:cs="微软雅黑" w:hint="eastAsia"/>
          <w:szCs w:val="21"/>
        </w:rPr>
        <w:t>的学生应修学本专业的</w:t>
      </w:r>
      <w:r>
        <w:rPr>
          <w:rFonts w:ascii="宋体" w:eastAsia="宋体" w:hAnsi="宋体" w:cs="微软雅黑" w:hint="eastAsia"/>
          <w:szCs w:val="21"/>
        </w:rPr>
        <w:t>33</w:t>
      </w:r>
      <w:r>
        <w:rPr>
          <w:rFonts w:ascii="宋体" w:eastAsia="宋体" w:hAnsi="宋体" w:cs="微软雅黑" w:hint="eastAsia"/>
          <w:szCs w:val="21"/>
        </w:rPr>
        <w:t>学分核心必修课，并符合《西南交通大学本科生辅修与双学位管理办法》规定者，方可颁发本专业辅修证书。</w:t>
      </w:r>
    </w:p>
    <w:p w:rsidR="00621CB8" w:rsidRDefault="0038737E">
      <w:pPr>
        <w:widowControl/>
        <w:snapToGrid w:val="0"/>
        <w:spacing w:before="240" w:line="360" w:lineRule="auto"/>
        <w:ind w:left="720" w:hanging="720"/>
        <w:rPr>
          <w:rFonts w:ascii="黑体" w:eastAsia="黑体" w:hAnsi="黑体"/>
          <w:sz w:val="28"/>
          <w:szCs w:val="28"/>
        </w:rPr>
      </w:pPr>
      <w:r>
        <w:rPr>
          <w:rFonts w:ascii="黑体" w:eastAsia="黑体" w:hAnsi="黑体" w:hint="eastAsia"/>
          <w:sz w:val="28"/>
          <w:szCs w:val="28"/>
        </w:rPr>
        <w:t>四、课程设置</w:t>
      </w:r>
    </w:p>
    <w:tbl>
      <w:tblPr>
        <w:tblStyle w:val="1"/>
        <w:tblW w:w="8123" w:type="dxa"/>
        <w:jc w:val="center"/>
        <w:tblInd w:w="-183" w:type="dxa"/>
        <w:tblLayout w:type="fixed"/>
        <w:tblLook w:val="04A0" w:firstRow="1" w:lastRow="0" w:firstColumn="1" w:lastColumn="0" w:noHBand="0" w:noVBand="1"/>
      </w:tblPr>
      <w:tblGrid>
        <w:gridCol w:w="1479"/>
        <w:gridCol w:w="2273"/>
        <w:gridCol w:w="1244"/>
        <w:gridCol w:w="895"/>
        <w:gridCol w:w="1116"/>
        <w:gridCol w:w="1116"/>
      </w:tblGrid>
      <w:tr w:rsidR="00621CB8">
        <w:trPr>
          <w:trHeight w:val="340"/>
          <w:jc w:val="center"/>
        </w:trPr>
        <w:tc>
          <w:tcPr>
            <w:tcW w:w="1479" w:type="dxa"/>
            <w:vAlign w:val="center"/>
          </w:tcPr>
          <w:p w:rsidR="00621CB8" w:rsidRDefault="0038737E">
            <w:pPr>
              <w:ind w:firstLine="361"/>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课程类型</w:t>
            </w:r>
          </w:p>
        </w:tc>
        <w:tc>
          <w:tcPr>
            <w:tcW w:w="2273" w:type="dxa"/>
            <w:vAlign w:val="center"/>
          </w:tcPr>
          <w:p w:rsidR="00621CB8" w:rsidRDefault="0038737E">
            <w:pPr>
              <w:ind w:firstLine="361"/>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课程名称</w:t>
            </w:r>
          </w:p>
        </w:tc>
        <w:tc>
          <w:tcPr>
            <w:tcW w:w="1244" w:type="dxa"/>
            <w:vAlign w:val="center"/>
          </w:tcPr>
          <w:p w:rsidR="00621CB8" w:rsidRDefault="0038737E">
            <w:pPr>
              <w:ind w:firstLine="361"/>
              <w:jc w:val="center"/>
              <w:rPr>
                <w:rFonts w:ascii="宋体" w:eastAsia="宋体" w:hAnsi="宋体" w:cs="Times New Roman"/>
                <w:b/>
                <w:kern w:val="0"/>
                <w:sz w:val="18"/>
                <w:szCs w:val="18"/>
              </w:rPr>
            </w:pPr>
            <w:r>
              <w:rPr>
                <w:rFonts w:ascii="宋体" w:eastAsia="宋体" w:hAnsi="宋体" w:cs="Times New Roman" w:hint="eastAsia"/>
                <w:b/>
                <w:kern w:val="0"/>
                <w:sz w:val="18"/>
                <w:szCs w:val="18"/>
              </w:rPr>
              <w:t>课程性质</w:t>
            </w:r>
          </w:p>
        </w:tc>
        <w:tc>
          <w:tcPr>
            <w:tcW w:w="895" w:type="dxa"/>
            <w:vAlign w:val="center"/>
          </w:tcPr>
          <w:p w:rsidR="00621CB8" w:rsidRDefault="0038737E">
            <w:pPr>
              <w:ind w:firstLine="361"/>
              <w:jc w:val="center"/>
              <w:rPr>
                <w:rFonts w:ascii="宋体" w:eastAsia="宋体" w:hAnsi="宋体" w:cs="Times New Roman"/>
                <w:b/>
                <w:kern w:val="0"/>
                <w:sz w:val="18"/>
                <w:szCs w:val="18"/>
              </w:rPr>
            </w:pPr>
            <w:r>
              <w:rPr>
                <w:rFonts w:ascii="宋体" w:eastAsia="宋体" w:hAnsi="宋体" w:cs="Times New Roman" w:hint="eastAsia"/>
                <w:b/>
                <w:kern w:val="0"/>
                <w:sz w:val="18"/>
                <w:szCs w:val="18"/>
              </w:rPr>
              <w:t>学分</w:t>
            </w:r>
          </w:p>
        </w:tc>
        <w:tc>
          <w:tcPr>
            <w:tcW w:w="1116" w:type="dxa"/>
            <w:vAlign w:val="center"/>
          </w:tcPr>
          <w:p w:rsidR="00621CB8" w:rsidRDefault="0038737E">
            <w:pPr>
              <w:ind w:firstLine="361"/>
              <w:jc w:val="center"/>
              <w:rPr>
                <w:rFonts w:ascii="宋体" w:eastAsia="宋体" w:hAnsi="宋体" w:cs="Times New Roman"/>
                <w:b/>
                <w:kern w:val="0"/>
                <w:sz w:val="18"/>
                <w:szCs w:val="18"/>
              </w:rPr>
            </w:pPr>
            <w:r>
              <w:rPr>
                <w:rFonts w:ascii="宋体" w:eastAsia="宋体" w:hAnsi="宋体" w:cs="Times New Roman" w:hint="eastAsia"/>
                <w:b/>
                <w:kern w:val="0"/>
                <w:sz w:val="18"/>
                <w:szCs w:val="18"/>
              </w:rPr>
              <w:t>开课学期</w:t>
            </w:r>
          </w:p>
        </w:tc>
        <w:tc>
          <w:tcPr>
            <w:tcW w:w="1116" w:type="dxa"/>
            <w:vAlign w:val="center"/>
          </w:tcPr>
          <w:p w:rsidR="00621CB8" w:rsidRDefault="0038737E">
            <w:pPr>
              <w:ind w:firstLine="361"/>
              <w:jc w:val="center"/>
              <w:rPr>
                <w:rFonts w:ascii="宋体" w:eastAsia="宋体" w:hAnsi="宋体" w:cs="Times New Roman"/>
                <w:b/>
                <w:kern w:val="0"/>
                <w:sz w:val="18"/>
                <w:szCs w:val="18"/>
              </w:rPr>
            </w:pPr>
            <w:r>
              <w:rPr>
                <w:rFonts w:ascii="宋体" w:eastAsia="宋体" w:hAnsi="宋体" w:cs="Times New Roman" w:hint="eastAsia"/>
                <w:b/>
                <w:kern w:val="0"/>
                <w:sz w:val="18"/>
                <w:szCs w:val="18"/>
              </w:rPr>
              <w:t>开课学院</w:t>
            </w:r>
          </w:p>
        </w:tc>
      </w:tr>
      <w:tr w:rsidR="00621CB8">
        <w:trPr>
          <w:trHeight w:val="340"/>
          <w:jc w:val="center"/>
        </w:trPr>
        <w:tc>
          <w:tcPr>
            <w:tcW w:w="1479" w:type="dxa"/>
            <w:vMerge w:val="restart"/>
            <w:vAlign w:val="center"/>
          </w:tcPr>
          <w:p w:rsidR="00621CB8" w:rsidRDefault="0038737E">
            <w:pPr>
              <w:ind w:left="181" w:hangingChars="100" w:hanging="181"/>
              <w:jc w:val="center"/>
              <w:rPr>
                <w:rFonts w:ascii="宋体" w:eastAsia="宋体" w:hAnsi="宋体" w:cs="Times New Roman"/>
                <w:b/>
                <w:kern w:val="0"/>
                <w:sz w:val="18"/>
                <w:szCs w:val="18"/>
              </w:rPr>
            </w:pPr>
            <w:r>
              <w:rPr>
                <w:rFonts w:ascii="宋体" w:eastAsia="宋体" w:hAnsi="宋体" w:cs="Times New Roman" w:hint="eastAsia"/>
                <w:b/>
                <w:kern w:val="0"/>
                <w:sz w:val="18"/>
                <w:szCs w:val="18"/>
              </w:rPr>
              <w:t>专业课</w:t>
            </w:r>
          </w:p>
          <w:p w:rsidR="00621CB8" w:rsidRDefault="0038737E">
            <w:pPr>
              <w:ind w:left="181" w:hangingChars="100" w:hanging="181"/>
              <w:jc w:val="center"/>
              <w:rPr>
                <w:rFonts w:ascii="宋体" w:eastAsia="宋体" w:hAnsi="宋体" w:cs="Times New Roman"/>
                <w:b/>
                <w:kern w:val="0"/>
                <w:sz w:val="18"/>
                <w:szCs w:val="18"/>
              </w:rPr>
            </w:pPr>
            <w:r>
              <w:rPr>
                <w:rFonts w:ascii="宋体" w:eastAsia="宋体" w:hAnsi="宋体" w:cs="Times New Roman" w:hint="eastAsia"/>
                <w:b/>
                <w:kern w:val="0"/>
                <w:sz w:val="18"/>
                <w:szCs w:val="18"/>
              </w:rPr>
              <w:t>必修</w:t>
            </w:r>
            <w:r>
              <w:rPr>
                <w:rFonts w:ascii="宋体" w:eastAsia="宋体" w:hAnsi="宋体" w:cs="Times New Roman" w:hint="eastAsia"/>
                <w:b/>
                <w:kern w:val="0"/>
                <w:sz w:val="18"/>
                <w:szCs w:val="18"/>
              </w:rPr>
              <w:t>29</w:t>
            </w:r>
            <w:r>
              <w:rPr>
                <w:rFonts w:ascii="宋体" w:eastAsia="宋体" w:hAnsi="宋体" w:cs="Times New Roman" w:hint="eastAsia"/>
                <w:b/>
                <w:kern w:val="0"/>
                <w:sz w:val="18"/>
                <w:szCs w:val="18"/>
              </w:rPr>
              <w:t>学分</w:t>
            </w:r>
          </w:p>
          <w:p w:rsidR="00621CB8" w:rsidRDefault="0038737E">
            <w:pPr>
              <w:ind w:left="181" w:hangingChars="100" w:hanging="181"/>
              <w:jc w:val="center"/>
              <w:rPr>
                <w:rFonts w:ascii="宋体" w:eastAsia="宋体" w:hAnsi="宋体" w:cs="Times New Roman"/>
                <w:b/>
                <w:kern w:val="0"/>
                <w:sz w:val="18"/>
                <w:szCs w:val="18"/>
              </w:rPr>
            </w:pPr>
            <w:r>
              <w:rPr>
                <w:rFonts w:ascii="宋体" w:eastAsia="宋体" w:hAnsi="宋体" w:cs="Times New Roman" w:hint="eastAsia"/>
                <w:b/>
                <w:kern w:val="0"/>
                <w:sz w:val="18"/>
                <w:szCs w:val="18"/>
              </w:rPr>
              <w:t>限选</w:t>
            </w:r>
            <w:r>
              <w:rPr>
                <w:rFonts w:ascii="宋体" w:eastAsia="宋体" w:hAnsi="宋体" w:cs="Times New Roman" w:hint="eastAsia"/>
                <w:b/>
                <w:kern w:val="0"/>
                <w:sz w:val="18"/>
                <w:szCs w:val="18"/>
              </w:rPr>
              <w:t>4</w:t>
            </w:r>
            <w:r>
              <w:rPr>
                <w:rFonts w:ascii="宋体" w:eastAsia="宋体" w:hAnsi="宋体" w:cs="Times New Roman" w:hint="eastAsia"/>
                <w:b/>
                <w:kern w:val="0"/>
                <w:sz w:val="18"/>
                <w:szCs w:val="18"/>
              </w:rPr>
              <w:t>学分</w:t>
            </w:r>
          </w:p>
        </w:tc>
        <w:tc>
          <w:tcPr>
            <w:tcW w:w="2273" w:type="dxa"/>
            <w:vAlign w:val="center"/>
          </w:tcPr>
          <w:p w:rsidR="00621CB8" w:rsidRDefault="0038737E">
            <w:pPr>
              <w:jc w:val="center"/>
              <w:rPr>
                <w:rFonts w:ascii="宋体" w:eastAsia="宋体" w:hAnsi="宋体" w:cs="Times New Roman"/>
                <w:kern w:val="0"/>
                <w:sz w:val="18"/>
                <w:szCs w:val="18"/>
              </w:rPr>
            </w:pPr>
            <w:r>
              <w:rPr>
                <w:rFonts w:ascii="Times New Roman" w:eastAsia="宋体" w:hAnsi="Times New Roman" w:cs="Times New Roman" w:hint="eastAsia"/>
                <w:color w:val="000000"/>
                <w:kern w:val="0"/>
                <w:sz w:val="18"/>
                <w:szCs w:val="18"/>
              </w:rPr>
              <w:t>铁路通信信号</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宋体" w:eastAsia="宋体" w:hAnsi="宋体" w:cs="Times New Roman"/>
                <w:kern w:val="0"/>
                <w:sz w:val="18"/>
                <w:szCs w:val="18"/>
              </w:rPr>
            </w:pPr>
            <w:r>
              <w:rPr>
                <w:rFonts w:ascii="Times New Roman" w:eastAsia="宋体" w:hAnsi="Times New Roman" w:cs="Times New Roman" w:hint="eastAsia"/>
                <w:color w:val="000000"/>
                <w:kern w:val="0"/>
                <w:sz w:val="18"/>
                <w:szCs w:val="18"/>
              </w:rPr>
              <w:t>机车车辆与列车牵引计算</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宋体" w:eastAsia="宋体" w:hAnsi="宋体" w:cs="Times New Roman"/>
                <w:kern w:val="0"/>
                <w:sz w:val="18"/>
                <w:szCs w:val="18"/>
              </w:rPr>
            </w:pPr>
            <w:r>
              <w:rPr>
                <w:rFonts w:ascii="Times New Roman" w:eastAsia="宋体" w:hAnsi="Times New Roman" w:cs="Times New Roman" w:hint="eastAsia"/>
                <w:color w:val="000000"/>
                <w:kern w:val="0"/>
                <w:sz w:val="18"/>
                <w:szCs w:val="18"/>
              </w:rPr>
              <w:t>线路基础</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行车组织</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4</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铁路车站及枢纽</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货物运输组织</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旅客运输组织</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交通运输专业英语</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宋体" w:eastAsia="宋体" w:hAnsi="宋体" w:cs="Times New Roman"/>
                <w:kern w:val="0"/>
                <w:sz w:val="18"/>
                <w:szCs w:val="18"/>
              </w:rPr>
            </w:pPr>
            <w:r>
              <w:rPr>
                <w:rFonts w:ascii="Times New Roman" w:eastAsia="宋体" w:hAnsi="Times New Roman" w:cs="Times New Roman" w:hint="eastAsia"/>
                <w:color w:val="000000"/>
                <w:kern w:val="0"/>
                <w:sz w:val="18"/>
                <w:szCs w:val="18"/>
              </w:rPr>
              <w:t>铁路规章</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高速铁路运输组织</w:t>
            </w:r>
          </w:p>
        </w:tc>
        <w:tc>
          <w:tcPr>
            <w:tcW w:w="1244" w:type="dxa"/>
            <w:vMerge w:val="restart"/>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限选</w:t>
            </w:r>
            <w:r>
              <w:rPr>
                <w:rFonts w:ascii="宋体" w:eastAsia="宋体" w:hAnsi="宋体" w:cs="Times New Roman" w:hint="eastAsia"/>
                <w:kern w:val="0"/>
                <w:sz w:val="18"/>
                <w:szCs w:val="18"/>
              </w:rPr>
              <w:t>4</w:t>
            </w:r>
            <w:r>
              <w:rPr>
                <w:rFonts w:ascii="宋体" w:eastAsia="宋体" w:hAnsi="宋体" w:cs="Times New Roman" w:hint="eastAsia"/>
                <w:kern w:val="0"/>
                <w:sz w:val="18"/>
                <w:szCs w:val="18"/>
              </w:rPr>
              <w:t>学分</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高速铁路运营管理</w:t>
            </w:r>
          </w:p>
        </w:tc>
        <w:tc>
          <w:tcPr>
            <w:tcW w:w="1244" w:type="dxa"/>
            <w:vMerge/>
            <w:vAlign w:val="center"/>
          </w:tcPr>
          <w:p w:rsidR="00621CB8" w:rsidRDefault="00621CB8">
            <w:pPr>
              <w:jc w:val="center"/>
              <w:rPr>
                <w:rFonts w:ascii="宋体" w:eastAsia="宋体" w:hAnsi="宋体" w:cs="Times New Roman"/>
                <w:kern w:val="0"/>
                <w:sz w:val="18"/>
                <w:szCs w:val="18"/>
              </w:rPr>
            </w:pP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综合运输概论</w:t>
            </w:r>
          </w:p>
        </w:tc>
        <w:tc>
          <w:tcPr>
            <w:tcW w:w="1244" w:type="dxa"/>
            <w:vMerge/>
            <w:vAlign w:val="center"/>
          </w:tcPr>
          <w:p w:rsidR="00621CB8" w:rsidRDefault="00621CB8">
            <w:pPr>
              <w:jc w:val="center"/>
              <w:rPr>
                <w:rFonts w:ascii="宋体" w:eastAsia="宋体" w:hAnsi="宋体" w:cs="Times New Roman"/>
                <w:kern w:val="0"/>
                <w:sz w:val="18"/>
                <w:szCs w:val="18"/>
              </w:rPr>
            </w:pP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铁路行车安全保障</w:t>
            </w:r>
          </w:p>
        </w:tc>
        <w:tc>
          <w:tcPr>
            <w:tcW w:w="1244" w:type="dxa"/>
            <w:vMerge/>
            <w:vAlign w:val="center"/>
          </w:tcPr>
          <w:p w:rsidR="00621CB8" w:rsidRDefault="00621CB8">
            <w:pPr>
              <w:jc w:val="center"/>
              <w:rPr>
                <w:rFonts w:ascii="宋体" w:eastAsia="宋体" w:hAnsi="宋体" w:cs="Times New Roman"/>
                <w:kern w:val="0"/>
                <w:sz w:val="18"/>
                <w:szCs w:val="18"/>
              </w:rPr>
            </w:pP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kern w:val="0"/>
                <w:sz w:val="18"/>
                <w:szCs w:val="18"/>
              </w:rPr>
              <w:t>铁路运输信息系统</w:t>
            </w:r>
          </w:p>
        </w:tc>
        <w:tc>
          <w:tcPr>
            <w:tcW w:w="1244" w:type="dxa"/>
            <w:vMerge/>
            <w:vAlign w:val="center"/>
          </w:tcPr>
          <w:p w:rsidR="00621CB8" w:rsidRDefault="00621CB8">
            <w:pPr>
              <w:jc w:val="center"/>
              <w:rPr>
                <w:rFonts w:ascii="宋体" w:eastAsia="宋体" w:hAnsi="宋体" w:cs="Times New Roman"/>
                <w:kern w:val="0"/>
                <w:sz w:val="18"/>
                <w:szCs w:val="18"/>
              </w:rPr>
            </w:pP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kern w:val="0"/>
                <w:sz w:val="18"/>
                <w:szCs w:val="18"/>
              </w:rPr>
            </w:pPr>
            <w:r>
              <w:rPr>
                <w:rFonts w:ascii="Times New Roman" w:eastAsia="宋体" w:hAnsi="Times New Roman" w:cs="Times New Roman" w:hint="eastAsia"/>
                <w:color w:val="000000"/>
                <w:kern w:val="0"/>
                <w:sz w:val="18"/>
                <w:szCs w:val="18"/>
              </w:rPr>
              <w:t>计算机编制列车运行图</w:t>
            </w:r>
          </w:p>
        </w:tc>
        <w:tc>
          <w:tcPr>
            <w:tcW w:w="1244" w:type="dxa"/>
            <w:vMerge/>
            <w:vAlign w:val="center"/>
          </w:tcPr>
          <w:p w:rsidR="00621CB8" w:rsidRDefault="00621CB8">
            <w:pPr>
              <w:jc w:val="center"/>
              <w:rPr>
                <w:rFonts w:ascii="宋体" w:eastAsia="宋体" w:hAnsi="宋体" w:cs="Times New Roman"/>
                <w:kern w:val="0"/>
                <w:sz w:val="18"/>
                <w:szCs w:val="18"/>
              </w:rPr>
            </w:pP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宋体" w:eastAsia="宋体" w:hAnsi="宋体" w:cs="宋体" w:hint="eastAsia"/>
                <w:kern w:val="0"/>
                <w:sz w:val="18"/>
                <w:szCs w:val="18"/>
              </w:rPr>
              <w:t>集装箱运输与多式联运</w:t>
            </w:r>
          </w:p>
        </w:tc>
        <w:tc>
          <w:tcPr>
            <w:tcW w:w="1244" w:type="dxa"/>
            <w:vMerge/>
            <w:vAlign w:val="center"/>
          </w:tcPr>
          <w:p w:rsidR="00621CB8" w:rsidRDefault="00621CB8">
            <w:pPr>
              <w:jc w:val="center"/>
              <w:rPr>
                <w:rFonts w:ascii="宋体" w:eastAsia="宋体" w:hAnsi="宋体" w:cs="Times New Roman"/>
                <w:kern w:val="0"/>
                <w:sz w:val="18"/>
                <w:szCs w:val="18"/>
              </w:rPr>
            </w:pP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秋季学期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宋体" w:eastAsia="宋体" w:hAnsi="宋体" w:cs="Times New Roman"/>
                <w:kern w:val="0"/>
                <w:sz w:val="18"/>
                <w:szCs w:val="18"/>
              </w:rPr>
            </w:pPr>
            <w:r>
              <w:rPr>
                <w:rFonts w:ascii="Times New Roman" w:eastAsia="宋体" w:hAnsi="Times New Roman" w:cs="Times New Roman" w:hint="eastAsia"/>
                <w:color w:val="000000"/>
                <w:kern w:val="0"/>
                <w:sz w:val="18"/>
                <w:szCs w:val="18"/>
              </w:rPr>
              <w:t>交通运输专业基础实验</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行车组织仿真实验</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秋节学期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货物运输织实验</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行车组织课程设计</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货物运输组织课程设计</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1479" w:type="dxa"/>
            <w:vMerge/>
            <w:vAlign w:val="center"/>
          </w:tcPr>
          <w:p w:rsidR="00621CB8" w:rsidRDefault="00621CB8">
            <w:pPr>
              <w:ind w:firstLine="361"/>
              <w:jc w:val="center"/>
              <w:rPr>
                <w:rFonts w:ascii="宋体" w:eastAsia="宋体" w:hAnsi="宋体" w:cs="Times New Roman"/>
                <w:b/>
                <w:kern w:val="0"/>
                <w:sz w:val="18"/>
                <w:szCs w:val="18"/>
              </w:rPr>
            </w:pPr>
          </w:p>
        </w:tc>
        <w:tc>
          <w:tcPr>
            <w:tcW w:w="2273" w:type="dxa"/>
            <w:vAlign w:val="center"/>
          </w:tcPr>
          <w:p w:rsidR="00621CB8" w:rsidRDefault="0038737E">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铁路站场课程设计</w:t>
            </w:r>
          </w:p>
        </w:tc>
        <w:tc>
          <w:tcPr>
            <w:tcW w:w="1244"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必修</w:t>
            </w:r>
          </w:p>
        </w:tc>
        <w:tc>
          <w:tcPr>
            <w:tcW w:w="895"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hint="eastAsia"/>
                <w:kern w:val="0"/>
                <w:sz w:val="18"/>
                <w:szCs w:val="18"/>
              </w:rPr>
              <w:t>春季学期</w:t>
            </w:r>
          </w:p>
        </w:tc>
        <w:tc>
          <w:tcPr>
            <w:tcW w:w="1116" w:type="dxa"/>
            <w:vAlign w:val="center"/>
          </w:tcPr>
          <w:p w:rsidR="00621CB8" w:rsidRDefault="0038737E">
            <w:pPr>
              <w:jc w:val="center"/>
              <w:rPr>
                <w:rFonts w:ascii="宋体" w:eastAsia="宋体" w:hAnsi="宋体" w:cs="Times New Roman"/>
                <w:kern w:val="0"/>
                <w:sz w:val="18"/>
                <w:szCs w:val="18"/>
              </w:rPr>
            </w:pPr>
            <w:r>
              <w:rPr>
                <w:rFonts w:ascii="宋体" w:eastAsia="宋体" w:hAnsi="宋体" w:cs="Times New Roman"/>
                <w:kern w:val="0"/>
                <w:sz w:val="18"/>
                <w:szCs w:val="18"/>
              </w:rPr>
              <w:t>交运</w:t>
            </w:r>
          </w:p>
        </w:tc>
      </w:tr>
      <w:tr w:rsidR="00621CB8">
        <w:trPr>
          <w:trHeight w:val="340"/>
          <w:jc w:val="center"/>
        </w:trPr>
        <w:tc>
          <w:tcPr>
            <w:tcW w:w="4996" w:type="dxa"/>
            <w:gridSpan w:val="3"/>
            <w:vAlign w:val="center"/>
          </w:tcPr>
          <w:p w:rsidR="00621CB8" w:rsidRDefault="0038737E">
            <w:pPr>
              <w:ind w:firstLine="361"/>
              <w:jc w:val="center"/>
              <w:rPr>
                <w:rFonts w:ascii="宋体" w:eastAsia="宋体" w:hAnsi="宋体" w:cs="Times New Roman"/>
                <w:b/>
                <w:kern w:val="0"/>
                <w:sz w:val="18"/>
                <w:szCs w:val="18"/>
              </w:rPr>
            </w:pPr>
            <w:r>
              <w:rPr>
                <w:rFonts w:ascii="宋体" w:eastAsia="宋体" w:hAnsi="宋体" w:cs="Times New Roman" w:hint="eastAsia"/>
                <w:b/>
                <w:kern w:val="0"/>
                <w:sz w:val="18"/>
                <w:szCs w:val="18"/>
              </w:rPr>
              <w:t>总学分</w:t>
            </w:r>
          </w:p>
        </w:tc>
        <w:tc>
          <w:tcPr>
            <w:tcW w:w="3127" w:type="dxa"/>
            <w:gridSpan w:val="3"/>
            <w:vAlign w:val="center"/>
          </w:tcPr>
          <w:p w:rsidR="00621CB8" w:rsidRDefault="0038737E">
            <w:pPr>
              <w:ind w:firstLine="360"/>
              <w:jc w:val="center"/>
              <w:rPr>
                <w:rFonts w:ascii="宋体" w:eastAsia="宋体" w:hAnsi="宋体" w:cs="Times New Roman"/>
                <w:kern w:val="0"/>
                <w:sz w:val="18"/>
                <w:szCs w:val="18"/>
              </w:rPr>
            </w:pPr>
            <w:r>
              <w:rPr>
                <w:rFonts w:ascii="宋体" w:eastAsia="宋体" w:hAnsi="宋体" w:cs="Times New Roman" w:hint="eastAsia"/>
                <w:kern w:val="0"/>
                <w:sz w:val="18"/>
                <w:szCs w:val="18"/>
              </w:rPr>
              <w:t>33</w:t>
            </w:r>
          </w:p>
        </w:tc>
      </w:tr>
    </w:tbl>
    <w:p w:rsidR="00621CB8" w:rsidRDefault="00621CB8">
      <w:pPr>
        <w:widowControl/>
        <w:snapToGrid w:val="0"/>
        <w:spacing w:line="360" w:lineRule="auto"/>
        <w:ind w:left="720" w:hanging="720"/>
        <w:rPr>
          <w:rFonts w:ascii="宋体" w:eastAsia="宋体" w:hAnsi="宋体"/>
          <w:szCs w:val="21"/>
        </w:rPr>
      </w:pPr>
    </w:p>
    <w:p w:rsidR="00621CB8" w:rsidRDefault="00621CB8">
      <w:bookmarkStart w:id="0" w:name="_GoBack"/>
      <w:bookmarkEnd w:id="0"/>
    </w:p>
    <w:sectPr w:rsidR="00621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5B9C"/>
    <w:multiLevelType w:val="multilevel"/>
    <w:tmpl w:val="10FD5B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2BF2B04"/>
    <w:multiLevelType w:val="multilevel"/>
    <w:tmpl w:val="52BF2B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9E"/>
    <w:rsid w:val="001F0E7D"/>
    <w:rsid w:val="0038737E"/>
    <w:rsid w:val="003E1845"/>
    <w:rsid w:val="00621CB8"/>
    <w:rsid w:val="0069454E"/>
    <w:rsid w:val="00BC559E"/>
    <w:rsid w:val="00C402A8"/>
    <w:rsid w:val="00D0751E"/>
    <w:rsid w:val="00D34D75"/>
    <w:rsid w:val="00DF1F99"/>
    <w:rsid w:val="00E366C5"/>
    <w:rsid w:val="00F32AD8"/>
    <w:rsid w:val="00F92D7F"/>
    <w:rsid w:val="2D6352BB"/>
    <w:rsid w:val="6D70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widowControl/>
      <w:spacing w:after="120"/>
      <w:ind w:leftChars="200" w:left="420"/>
      <w:jc w:val="left"/>
    </w:pPr>
    <w:rPr>
      <w:rFonts w:ascii="Times New Roman" w:eastAsia="宋体" w:hAnsi="Times New Roman" w:cs="Times New Roman"/>
      <w:kern w:val="0"/>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1">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
    <w:name w:val="正文文本缩进 Char"/>
    <w:basedOn w:val="a0"/>
    <w:link w:val="a3"/>
    <w:qFormat/>
    <w:rPr>
      <w:rFonts w:ascii="Times New Roman" w:eastAsia="宋体" w:hAnsi="Times New Roman" w:cs="Times New Roman"/>
      <w:kern w:val="0"/>
      <w:sz w:val="24"/>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widowControl/>
      <w:spacing w:after="120"/>
      <w:ind w:leftChars="200" w:left="420"/>
      <w:jc w:val="left"/>
    </w:pPr>
    <w:rPr>
      <w:rFonts w:ascii="Times New Roman" w:eastAsia="宋体" w:hAnsi="Times New Roman" w:cs="Times New Roman"/>
      <w:kern w:val="0"/>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1">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
    <w:name w:val="正文文本缩进 Char"/>
    <w:basedOn w:val="a0"/>
    <w:link w:val="a3"/>
    <w:qFormat/>
    <w:rPr>
      <w:rFonts w:ascii="Times New Roman" w:eastAsia="宋体" w:hAnsi="Times New Roman" w:cs="Times New Roman"/>
      <w:kern w:val="0"/>
      <w:sz w:val="24"/>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feifei</cp:lastModifiedBy>
  <cp:revision>2</cp:revision>
  <dcterms:created xsi:type="dcterms:W3CDTF">2017-10-29T10:17:00Z</dcterms:created>
  <dcterms:modified xsi:type="dcterms:W3CDTF">2017-10-29T10:17:00Z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