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57" w:rsidRDefault="00D97F80">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信息管理与信息系统专业辅修培养方案</w:t>
      </w:r>
      <w:r>
        <w:rPr>
          <w:rFonts w:hint="eastAsia"/>
          <w:szCs w:val="21"/>
        </w:rPr>
        <w:t> </w:t>
      </w:r>
    </w:p>
    <w:p w:rsidR="00925457" w:rsidRDefault="00D97F80">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925457" w:rsidRDefault="00D97F80">
      <w:pPr>
        <w:spacing w:line="300" w:lineRule="auto"/>
        <w:rPr>
          <w:rFonts w:ascii="宋体" w:cs="Times New Roman"/>
          <w:kern w:val="0"/>
        </w:rPr>
      </w:pPr>
      <w:r>
        <w:rPr>
          <w:rFonts w:ascii="宋体" w:hAnsi="宋体" w:cs="宋体" w:hint="eastAsia"/>
          <w:kern w:val="0"/>
        </w:rPr>
        <w:t xml:space="preserve">    </w:t>
      </w:r>
      <w:r>
        <w:rPr>
          <w:rFonts w:ascii="宋体" w:hAnsi="宋体" w:cs="宋体" w:hint="eastAsia"/>
          <w:kern w:val="0"/>
        </w:rPr>
        <w:t>本专业培养掌握现代管理学、经济学理论知识，信息科学与技术知识，综合素质好，学科基础宽厚，专业基础扎实，具有国际视野和创新意识，具备融合经济学、管理学及信息科学与技术等学科知识解决各类组织管理问题的专业核心能力，能在政府管理部门、工商企业、金融机构、科研单位等从事信息资源管理，商业软件或信息系统开发和维护，以及基于信息与信息技术的业务分析与优化、管理咨询与创新的复合型高级管理人才</w:t>
      </w:r>
      <w:r>
        <w:rPr>
          <w:rFonts w:ascii="宋体" w:hAnsi="宋体" w:cs="微软雅黑" w:hint="eastAsia"/>
          <w:kern w:val="0"/>
        </w:rPr>
        <w:t>。</w:t>
      </w:r>
    </w:p>
    <w:p w:rsidR="00925457" w:rsidRDefault="00D97F80">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925457" w:rsidRDefault="00D97F80">
      <w:pPr>
        <w:spacing w:line="300" w:lineRule="auto"/>
        <w:ind w:firstLineChars="200" w:firstLine="420"/>
        <w:rPr>
          <w:rFonts w:ascii="宋体" w:cs="Times New Roman"/>
          <w:kern w:val="0"/>
        </w:rPr>
      </w:pPr>
      <w:r>
        <w:rPr>
          <w:rFonts w:ascii="宋体" w:hAnsi="宋体" w:cs="宋体" w:hint="eastAsia"/>
          <w:kern w:val="0"/>
        </w:rPr>
        <w:t>1.</w:t>
      </w:r>
      <w:r>
        <w:rPr>
          <w:rFonts w:ascii="宋体" w:hAnsi="宋体" w:cs="宋体" w:hint="eastAsia"/>
          <w:kern w:val="0"/>
        </w:rPr>
        <w:t>知识结构要求：本专业学生应掌握以下几方面知识。</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基础知识。包括数理分析，领导与组织管理，交流与协作，创新思维等方面知识。</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业务领域知识。包括经济学基础，管理学基础，工商管理理论与方法，企业运作管理，法律等方面知识。</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信息技术知识。包括</w:t>
      </w:r>
      <w:r>
        <w:rPr>
          <w:rFonts w:ascii="宋体" w:hAnsi="宋体" w:cs="宋体"/>
          <w:kern w:val="0"/>
        </w:rPr>
        <w:t>IT</w:t>
      </w:r>
      <w:r>
        <w:rPr>
          <w:rFonts w:ascii="宋体" w:hAnsi="宋体" w:cs="宋体" w:hint="eastAsia"/>
          <w:kern w:val="0"/>
        </w:rPr>
        <w:t>基础设施与架构，计算与编程，数据库与数据仓库，商务智能等。</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信息系统与信息资源管理知识。包括信息系统设计与实现，信息系统管理，信息战略，信息资源或大数据组织管理与分析挖掘等知识</w:t>
      </w:r>
    </w:p>
    <w:p w:rsidR="00925457" w:rsidRDefault="00D97F80">
      <w:pPr>
        <w:adjustRightInd w:val="0"/>
        <w:snapToGrid w:val="0"/>
        <w:spacing w:line="300" w:lineRule="auto"/>
        <w:ind w:firstLineChars="200" w:firstLine="420"/>
        <w:rPr>
          <w:rFonts w:ascii="宋体" w:cs="Times New Roman"/>
          <w:kern w:val="0"/>
        </w:rPr>
      </w:pPr>
      <w:r>
        <w:rPr>
          <w:rFonts w:ascii="宋体" w:hAnsi="宋体" w:cs="宋体" w:hint="eastAsia"/>
          <w:kern w:val="0"/>
        </w:rPr>
        <w:t>2.</w:t>
      </w:r>
      <w:r>
        <w:rPr>
          <w:rFonts w:ascii="宋体" w:hAnsi="宋体" w:cs="宋体" w:hint="eastAsia"/>
          <w:kern w:val="0"/>
        </w:rPr>
        <w:t>能力结构要求：本专业学生应掌握以下几方面能力。</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本专业学生应具备融合以上各方面知识，分析不同类型组织，特别是企业，所面临的不同层面的管理问</w:t>
      </w:r>
      <w:r>
        <w:rPr>
          <w:rFonts w:ascii="宋体" w:hAnsi="宋体" w:cs="宋体" w:hint="eastAsia"/>
          <w:kern w:val="0"/>
        </w:rPr>
        <w:t>题，创新性提出并实施信息化解决方案的能力；</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具备良好的组织管理能力，团队协作能力；</w:t>
      </w:r>
    </w:p>
    <w:p w:rsidR="00925457" w:rsidRDefault="00D97F80">
      <w:pPr>
        <w:numPr>
          <w:ilvl w:val="0"/>
          <w:numId w:val="2"/>
        </w:numPr>
        <w:adjustRightInd w:val="0"/>
        <w:snapToGrid w:val="0"/>
        <w:spacing w:line="300" w:lineRule="auto"/>
        <w:ind w:left="0" w:firstLineChars="200" w:firstLine="420"/>
        <w:rPr>
          <w:rFonts w:ascii="宋体" w:cs="Times New Roman"/>
          <w:kern w:val="0"/>
        </w:rPr>
      </w:pPr>
      <w:r>
        <w:rPr>
          <w:rFonts w:ascii="宋体" w:hAnsi="宋体" w:cs="宋体" w:hint="eastAsia"/>
          <w:kern w:val="0"/>
        </w:rPr>
        <w:t>具备拓展学习能力；</w:t>
      </w:r>
    </w:p>
    <w:p w:rsidR="00925457" w:rsidRDefault="00D97F80">
      <w:pPr>
        <w:spacing w:line="300" w:lineRule="auto"/>
        <w:ind w:firstLineChars="200" w:firstLine="420"/>
        <w:rPr>
          <w:rFonts w:ascii="宋体" w:cs="Times New Roman"/>
          <w:kern w:val="0"/>
        </w:rPr>
      </w:pPr>
      <w:r>
        <w:rPr>
          <w:rFonts w:ascii="宋体" w:hAnsi="宋体" w:cs="宋体" w:hint="eastAsia"/>
          <w:kern w:val="0"/>
        </w:rPr>
        <w:t>3.</w:t>
      </w:r>
      <w:r>
        <w:rPr>
          <w:rFonts w:ascii="宋体" w:hAnsi="宋体" w:cs="宋体" w:hint="eastAsia"/>
          <w:kern w:val="0"/>
        </w:rPr>
        <w:t>素质结构要求：本专业学生应具备良好的思想道德、职业道德、文化素质和健康的心智。</w:t>
      </w:r>
      <w:bookmarkStart w:id="0" w:name="_GoBack"/>
      <w:bookmarkEnd w:id="0"/>
    </w:p>
    <w:p w:rsidR="00925457" w:rsidRDefault="00D97F80">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925457" w:rsidRDefault="00D97F80" w:rsidP="00D97F80">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Pr>
          <w:rFonts w:ascii="宋体" w:eastAsia="宋体" w:hAnsi="宋体" w:cs="微软雅黑" w:hint="eastAsia"/>
          <w:szCs w:val="21"/>
        </w:rPr>
        <w:t>33</w:t>
      </w:r>
      <w:r>
        <w:rPr>
          <w:rFonts w:ascii="宋体" w:eastAsia="宋体" w:hAnsi="宋体" w:cs="微软雅黑" w:hint="eastAsia"/>
          <w:szCs w:val="21"/>
        </w:rPr>
        <w:t>学分核心必修课，并符合《西南交通大学本科生辅修与双学位管理办法》规定者，方可颁发本专业辅修证书。</w:t>
      </w:r>
    </w:p>
    <w:p w:rsidR="00925457" w:rsidRDefault="00D97F80">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123" w:type="dxa"/>
        <w:jc w:val="center"/>
        <w:tblInd w:w="-183" w:type="dxa"/>
        <w:tblLayout w:type="fixed"/>
        <w:tblLook w:val="04A0" w:firstRow="1" w:lastRow="0" w:firstColumn="1" w:lastColumn="0" w:noHBand="0" w:noVBand="1"/>
      </w:tblPr>
      <w:tblGrid>
        <w:gridCol w:w="1479"/>
        <w:gridCol w:w="2083"/>
        <w:gridCol w:w="1434"/>
        <w:gridCol w:w="895"/>
        <w:gridCol w:w="1116"/>
        <w:gridCol w:w="1116"/>
      </w:tblGrid>
      <w:tr w:rsidR="00925457">
        <w:trPr>
          <w:trHeight w:val="340"/>
          <w:jc w:val="center"/>
        </w:trPr>
        <w:tc>
          <w:tcPr>
            <w:tcW w:w="1479" w:type="dxa"/>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2083" w:type="dxa"/>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434" w:type="dxa"/>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925457">
        <w:trPr>
          <w:trHeight w:val="340"/>
          <w:jc w:val="center"/>
        </w:trPr>
        <w:tc>
          <w:tcPr>
            <w:tcW w:w="1479" w:type="dxa"/>
            <w:vMerge w:val="restart"/>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11</w:t>
            </w:r>
            <w:r>
              <w:rPr>
                <w:rFonts w:ascii="宋体" w:eastAsia="宋体" w:hAnsi="宋体" w:cs="Times New Roman" w:hint="eastAsia"/>
                <w:b/>
                <w:kern w:val="0"/>
                <w:sz w:val="18"/>
                <w:szCs w:val="18"/>
              </w:rPr>
              <w:t>学分</w:t>
            </w:r>
          </w:p>
        </w:tc>
        <w:tc>
          <w:tcPr>
            <w:tcW w:w="2083" w:type="dxa"/>
            <w:vAlign w:val="center"/>
          </w:tcPr>
          <w:p w:rsidR="00925457" w:rsidRDefault="00D97F80">
            <w:pPr>
              <w:adjustRightInd w:val="0"/>
              <w:snapToGrid w:val="0"/>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管理信息系统</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adjustRightInd w:val="0"/>
              <w:snapToGrid w:val="0"/>
              <w:jc w:val="center"/>
              <w:outlineLvl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adjustRightInd w:val="0"/>
              <w:snapToGrid w:val="0"/>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管理学原理</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1116" w:type="dxa"/>
            <w:vAlign w:val="center"/>
          </w:tcPr>
          <w:p w:rsidR="00925457" w:rsidRDefault="00D97F80">
            <w:pPr>
              <w:adjustRightInd w:val="0"/>
              <w:snapToGrid w:val="0"/>
              <w:jc w:val="center"/>
              <w:outlineLvl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adjustRightInd w:val="0"/>
              <w:snapToGrid w:val="0"/>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微观经济学</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adjustRightInd w:val="0"/>
              <w:snapToGrid w:val="0"/>
              <w:jc w:val="center"/>
              <w:outlineLvl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adjustRightInd w:val="0"/>
              <w:snapToGrid w:val="0"/>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应用统计</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adjustRightInd w:val="0"/>
              <w:snapToGrid w:val="0"/>
              <w:jc w:val="center"/>
              <w:outlineLvl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restart"/>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925457" w:rsidRDefault="00D97F80" w:rsidP="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lastRenderedPageBreak/>
              <w:t>必修</w:t>
            </w:r>
            <w:r>
              <w:rPr>
                <w:rFonts w:ascii="宋体" w:eastAsia="宋体" w:hAnsi="宋体" w:cs="Times New Roman" w:hint="eastAsia"/>
                <w:b/>
                <w:kern w:val="0"/>
                <w:sz w:val="18"/>
                <w:szCs w:val="18"/>
              </w:rPr>
              <w:t>8</w:t>
            </w:r>
            <w:r>
              <w:rPr>
                <w:rFonts w:ascii="宋体" w:eastAsia="宋体" w:hAnsi="宋体" w:cs="Times New Roman" w:hint="eastAsia"/>
                <w:b/>
                <w:kern w:val="0"/>
                <w:sz w:val="18"/>
                <w:szCs w:val="18"/>
              </w:rPr>
              <w:t>学分</w:t>
            </w:r>
          </w:p>
        </w:tc>
        <w:tc>
          <w:tcPr>
            <w:tcW w:w="2083"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lastRenderedPageBreak/>
              <w:t>电子商务概论</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互联网应用程序设计</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计算机网络与通信</w:t>
            </w:r>
          </w:p>
        </w:tc>
        <w:tc>
          <w:tcPr>
            <w:tcW w:w="1434"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434"/>
          <w:jc w:val="center"/>
        </w:trPr>
        <w:tc>
          <w:tcPr>
            <w:tcW w:w="1479" w:type="dxa"/>
            <w:vMerge w:val="restart"/>
            <w:vAlign w:val="center"/>
          </w:tcPr>
          <w:p w:rsidR="00925457" w:rsidRDefault="00D97F80">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925457" w:rsidRDefault="00D97F80" w:rsidP="00D97F80">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14</w:t>
            </w:r>
            <w:r>
              <w:rPr>
                <w:rFonts w:ascii="宋体" w:eastAsia="宋体" w:hAnsi="宋体" w:cs="Times New Roman" w:hint="eastAsia"/>
                <w:b/>
                <w:kern w:val="0"/>
                <w:sz w:val="18"/>
                <w:szCs w:val="18"/>
              </w:rPr>
              <w:t>学分</w:t>
            </w:r>
          </w:p>
        </w:tc>
        <w:tc>
          <w:tcPr>
            <w:tcW w:w="2083"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宋体" w:cs="Times New Roman" w:hint="eastAsia"/>
                <w:spacing w:val="12"/>
                <w:kern w:val="0"/>
                <w:sz w:val="18"/>
                <w:szCs w:val="18"/>
              </w:rPr>
              <w:t>系统分析与设计</w:t>
            </w:r>
          </w:p>
        </w:tc>
        <w:tc>
          <w:tcPr>
            <w:tcW w:w="1434"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宋体" w:cs="Times New Roman" w:hint="eastAsia"/>
                <w:spacing w:val="12"/>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adjustRightInd w:val="0"/>
              <w:snapToGrid w:val="0"/>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数据挖掘</w:t>
            </w:r>
          </w:p>
        </w:tc>
        <w:tc>
          <w:tcPr>
            <w:tcW w:w="1434"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宋体" w:cs="Times New Roman" w:hint="eastAsia"/>
                <w:spacing w:val="12"/>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1116" w:type="dxa"/>
            <w:vAlign w:val="center"/>
          </w:tcPr>
          <w:p w:rsidR="00925457" w:rsidRDefault="00D97F80">
            <w:pPr>
              <w:jc w:val="center"/>
              <w:outlineLvl w:val="0"/>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jc w:val="center"/>
              <w:rPr>
                <w:rFonts w:ascii="宋体" w:eastAsia="宋体" w:hAnsi="宋体" w:cs="Times New Roman"/>
                <w:kern w:val="0"/>
                <w:sz w:val="18"/>
                <w:szCs w:val="18"/>
              </w:rPr>
            </w:pPr>
            <w:r>
              <w:rPr>
                <w:rFonts w:ascii="Times New Roman" w:eastAsia="宋体" w:hAnsi="宋体" w:cs="Times New Roman" w:hint="eastAsia"/>
                <w:spacing w:val="12"/>
                <w:kern w:val="0"/>
                <w:sz w:val="18"/>
                <w:szCs w:val="18"/>
              </w:rPr>
              <w:t>商业数据分析</w:t>
            </w:r>
          </w:p>
        </w:tc>
        <w:tc>
          <w:tcPr>
            <w:tcW w:w="1434" w:type="dxa"/>
            <w:vAlign w:val="center"/>
          </w:tcPr>
          <w:p w:rsidR="00925457" w:rsidRDefault="00D97F80">
            <w:pPr>
              <w:jc w:val="center"/>
              <w:rPr>
                <w:rFonts w:ascii="宋体" w:eastAsia="宋体" w:hAnsi="宋体" w:cs="Times New Roman"/>
                <w:kern w:val="0"/>
                <w:sz w:val="18"/>
                <w:szCs w:val="18"/>
              </w:rPr>
            </w:pPr>
            <w:r>
              <w:rPr>
                <w:rFonts w:ascii="Times New Roman" w:eastAsia="宋体" w:hAnsi="宋体" w:cs="Times New Roman" w:hint="eastAsia"/>
                <w:spacing w:val="12"/>
                <w:kern w:val="0"/>
                <w:sz w:val="18"/>
                <w:szCs w:val="18"/>
              </w:rPr>
              <w:t>必修</w:t>
            </w:r>
          </w:p>
        </w:tc>
        <w:tc>
          <w:tcPr>
            <w:tcW w:w="895" w:type="dxa"/>
            <w:vAlign w:val="center"/>
          </w:tcPr>
          <w:p w:rsidR="00925457" w:rsidRDefault="00D97F80">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925457" w:rsidRDefault="00D97F80">
            <w:pPr>
              <w:jc w:val="center"/>
              <w:rPr>
                <w:rFonts w:ascii="宋体" w:eastAsia="宋体" w:hAnsi="宋体" w:cs="Times New Roman"/>
                <w:kern w:val="0"/>
                <w:sz w:val="18"/>
                <w:szCs w:val="18"/>
              </w:rPr>
            </w:pPr>
            <w:r>
              <w:rPr>
                <w:rFonts w:ascii="宋体" w:eastAsia="宋体" w:hAnsi="宋体" w:cs="Times New Roman" w:hint="eastAsia"/>
                <w:kern w:val="0"/>
                <w:sz w:val="18"/>
                <w:szCs w:val="18"/>
              </w:rPr>
              <w:t>6</w:t>
            </w:r>
          </w:p>
        </w:tc>
        <w:tc>
          <w:tcPr>
            <w:tcW w:w="1116" w:type="dxa"/>
            <w:vAlign w:val="center"/>
          </w:tcPr>
          <w:p w:rsidR="00925457" w:rsidRDefault="00D97F80">
            <w:pPr>
              <w:jc w:val="center"/>
              <w:rPr>
                <w:rFonts w:ascii="宋体" w:eastAsia="宋体" w:hAnsi="宋体"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Times New Roman" w:cs="Times New Roman"/>
                <w:spacing w:val="12"/>
                <w:kern w:val="0"/>
                <w:sz w:val="18"/>
                <w:szCs w:val="18"/>
              </w:rPr>
              <w:t>ERP</w:t>
            </w:r>
            <w:r>
              <w:rPr>
                <w:rFonts w:ascii="Times New Roman" w:eastAsia="宋体" w:hAnsi="宋体" w:cs="Times New Roman" w:hint="eastAsia"/>
                <w:spacing w:val="12"/>
                <w:kern w:val="0"/>
                <w:sz w:val="18"/>
                <w:szCs w:val="18"/>
              </w:rPr>
              <w:t>原理及应用</w:t>
            </w:r>
          </w:p>
        </w:tc>
        <w:tc>
          <w:tcPr>
            <w:tcW w:w="1434"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宋体" w:cs="Times New Roman" w:hint="eastAsia"/>
                <w:spacing w:val="12"/>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1479" w:type="dxa"/>
            <w:vMerge/>
            <w:vAlign w:val="center"/>
          </w:tcPr>
          <w:p w:rsidR="00925457" w:rsidRDefault="00925457">
            <w:pPr>
              <w:jc w:val="center"/>
              <w:rPr>
                <w:rFonts w:ascii="宋体" w:eastAsia="宋体" w:hAnsi="宋体" w:cs="Times New Roman"/>
                <w:b/>
                <w:kern w:val="0"/>
                <w:sz w:val="18"/>
                <w:szCs w:val="18"/>
              </w:rPr>
            </w:pPr>
          </w:p>
        </w:tc>
        <w:tc>
          <w:tcPr>
            <w:tcW w:w="2083"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宋体" w:cs="Times New Roman" w:hint="eastAsia"/>
                <w:spacing w:val="12"/>
                <w:kern w:val="0"/>
                <w:sz w:val="18"/>
                <w:szCs w:val="18"/>
              </w:rPr>
              <w:t>信息系统项目管理</w:t>
            </w:r>
          </w:p>
        </w:tc>
        <w:tc>
          <w:tcPr>
            <w:tcW w:w="1434" w:type="dxa"/>
            <w:vAlign w:val="center"/>
          </w:tcPr>
          <w:p w:rsidR="00925457" w:rsidRDefault="00D97F80">
            <w:pPr>
              <w:jc w:val="center"/>
              <w:rPr>
                <w:rFonts w:ascii="Times New Roman" w:eastAsia="宋体" w:hAnsi="Times New Roman" w:cs="Times New Roman"/>
                <w:spacing w:val="12"/>
                <w:kern w:val="0"/>
                <w:sz w:val="18"/>
                <w:szCs w:val="18"/>
              </w:rPr>
            </w:pPr>
            <w:r>
              <w:rPr>
                <w:rFonts w:ascii="Times New Roman" w:eastAsia="宋体" w:hAnsi="宋体" w:cs="Times New Roman" w:hint="eastAsia"/>
                <w:spacing w:val="12"/>
                <w:kern w:val="0"/>
                <w:sz w:val="18"/>
                <w:szCs w:val="18"/>
              </w:rPr>
              <w:t>必修</w:t>
            </w:r>
          </w:p>
        </w:tc>
        <w:tc>
          <w:tcPr>
            <w:tcW w:w="895"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1116" w:type="dxa"/>
            <w:vAlign w:val="center"/>
          </w:tcPr>
          <w:p w:rsidR="00925457" w:rsidRDefault="00D97F80">
            <w:pPr>
              <w:jc w:val="center"/>
              <w:rPr>
                <w:rFonts w:ascii="Times New Roman" w:eastAsia="宋体" w:hAnsi="Times New Roman" w:cs="Times New Roman"/>
                <w:kern w:val="0"/>
                <w:sz w:val="18"/>
                <w:szCs w:val="18"/>
              </w:rPr>
            </w:pPr>
            <w:r>
              <w:rPr>
                <w:rFonts w:ascii="Times New Roman" w:eastAsia="宋体" w:hAnsi="宋体" w:cs="Times New Roman" w:hint="eastAsia"/>
                <w:kern w:val="0"/>
                <w:sz w:val="18"/>
                <w:szCs w:val="18"/>
              </w:rPr>
              <w:t>经管</w:t>
            </w:r>
          </w:p>
        </w:tc>
      </w:tr>
      <w:tr w:rsidR="00925457">
        <w:trPr>
          <w:trHeight w:val="340"/>
          <w:jc w:val="center"/>
        </w:trPr>
        <w:tc>
          <w:tcPr>
            <w:tcW w:w="4996" w:type="dxa"/>
            <w:gridSpan w:val="3"/>
            <w:vAlign w:val="center"/>
          </w:tcPr>
          <w:p w:rsidR="00925457" w:rsidRDefault="00D97F80">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925457" w:rsidRDefault="00D97F80">
            <w:pPr>
              <w:jc w:val="left"/>
              <w:rPr>
                <w:rFonts w:ascii="宋体" w:eastAsia="宋体" w:hAnsi="宋体" w:cs="Times New Roman"/>
                <w:kern w:val="0"/>
                <w:sz w:val="18"/>
                <w:szCs w:val="18"/>
              </w:rPr>
            </w:pPr>
            <w:r>
              <w:rPr>
                <w:rFonts w:ascii="宋体" w:eastAsia="宋体" w:hAnsi="宋体" w:cs="Times New Roman" w:hint="eastAsia"/>
                <w:kern w:val="0"/>
                <w:sz w:val="18"/>
                <w:szCs w:val="18"/>
              </w:rPr>
              <w:t>33</w:t>
            </w:r>
          </w:p>
        </w:tc>
      </w:tr>
    </w:tbl>
    <w:p w:rsidR="00925457" w:rsidRDefault="00925457">
      <w:pPr>
        <w:widowControl/>
        <w:snapToGrid w:val="0"/>
        <w:spacing w:line="360" w:lineRule="auto"/>
        <w:ind w:left="720" w:hanging="720"/>
        <w:rPr>
          <w:rFonts w:ascii="宋体" w:eastAsia="宋体" w:hAnsi="宋体"/>
          <w:szCs w:val="21"/>
        </w:rPr>
      </w:pPr>
    </w:p>
    <w:p w:rsidR="00925457" w:rsidRDefault="00925457">
      <w:pPr>
        <w:widowControl/>
        <w:snapToGrid w:val="0"/>
        <w:spacing w:line="360" w:lineRule="auto"/>
        <w:ind w:left="360"/>
        <w:rPr>
          <w:rFonts w:ascii="宋体" w:eastAsia="宋体" w:hAnsi="宋体"/>
          <w:szCs w:val="21"/>
        </w:rPr>
      </w:pPr>
    </w:p>
    <w:sectPr w:rsidR="009254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7F545D9"/>
    <w:multiLevelType w:val="multilevel"/>
    <w:tmpl w:val="77F545D9"/>
    <w:lvl w:ilvl="0">
      <w:start w:val="1"/>
      <w:numFmt w:val="bullet"/>
      <w:lvlText w:val=""/>
      <w:lvlJc w:val="left"/>
      <w:pPr>
        <w:ind w:left="1260" w:hanging="420"/>
      </w:pPr>
      <w:rPr>
        <w:rFonts w:ascii="Wingdings" w:hAnsi="Wingdings" w:hint="default"/>
      </w:rPr>
    </w:lvl>
    <w:lvl w:ilvl="1">
      <w:start w:val="1"/>
      <w:numFmt w:val="bullet"/>
      <w:lvlText w:val=""/>
      <w:lvlJc w:val="left"/>
      <w:pPr>
        <w:ind w:left="1575" w:hanging="420"/>
      </w:pPr>
      <w:rPr>
        <w:rFonts w:ascii="Wingdings" w:hAnsi="Wingdings" w:hint="default"/>
      </w:rPr>
    </w:lvl>
    <w:lvl w:ilvl="2">
      <w:start w:val="1"/>
      <w:numFmt w:val="bullet"/>
      <w:lvlText w:val=""/>
      <w:lvlJc w:val="left"/>
      <w:pPr>
        <w:ind w:left="1995" w:hanging="420"/>
      </w:pPr>
      <w:rPr>
        <w:rFonts w:ascii="Wingdings" w:hAnsi="Wingdings" w:hint="default"/>
      </w:rPr>
    </w:lvl>
    <w:lvl w:ilvl="3">
      <w:start w:val="1"/>
      <w:numFmt w:val="bullet"/>
      <w:lvlText w:val=""/>
      <w:lvlJc w:val="left"/>
      <w:pPr>
        <w:ind w:left="2415" w:hanging="420"/>
      </w:pPr>
      <w:rPr>
        <w:rFonts w:ascii="Wingdings" w:hAnsi="Wingdings" w:hint="default"/>
      </w:rPr>
    </w:lvl>
    <w:lvl w:ilvl="4">
      <w:start w:val="1"/>
      <w:numFmt w:val="bullet"/>
      <w:lvlText w:val=""/>
      <w:lvlJc w:val="left"/>
      <w:pPr>
        <w:ind w:left="2835" w:hanging="420"/>
      </w:pPr>
      <w:rPr>
        <w:rFonts w:ascii="Wingdings" w:hAnsi="Wingdings" w:hint="default"/>
      </w:rPr>
    </w:lvl>
    <w:lvl w:ilvl="5">
      <w:start w:val="1"/>
      <w:numFmt w:val="bullet"/>
      <w:lvlText w:val=""/>
      <w:lvlJc w:val="left"/>
      <w:pPr>
        <w:ind w:left="3255" w:hanging="420"/>
      </w:pPr>
      <w:rPr>
        <w:rFonts w:ascii="Wingdings" w:hAnsi="Wingdings" w:hint="default"/>
      </w:rPr>
    </w:lvl>
    <w:lvl w:ilvl="6">
      <w:start w:val="1"/>
      <w:numFmt w:val="bullet"/>
      <w:lvlText w:val=""/>
      <w:lvlJc w:val="left"/>
      <w:pPr>
        <w:ind w:left="3675" w:hanging="420"/>
      </w:pPr>
      <w:rPr>
        <w:rFonts w:ascii="Wingdings" w:hAnsi="Wingdings" w:hint="default"/>
      </w:rPr>
    </w:lvl>
    <w:lvl w:ilvl="7">
      <w:start w:val="1"/>
      <w:numFmt w:val="bullet"/>
      <w:lvlText w:val=""/>
      <w:lvlJc w:val="left"/>
      <w:pPr>
        <w:ind w:left="4095" w:hanging="420"/>
      </w:pPr>
      <w:rPr>
        <w:rFonts w:ascii="Wingdings" w:hAnsi="Wingdings" w:hint="default"/>
      </w:rPr>
    </w:lvl>
    <w:lvl w:ilvl="8">
      <w:start w:val="1"/>
      <w:numFmt w:val="bullet"/>
      <w:lvlText w:val=""/>
      <w:lvlJc w:val="left"/>
      <w:pPr>
        <w:ind w:left="45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01C91"/>
    <w:rsid w:val="00060B5A"/>
    <w:rsid w:val="000675C2"/>
    <w:rsid w:val="000C711A"/>
    <w:rsid w:val="00107CF7"/>
    <w:rsid w:val="0024267B"/>
    <w:rsid w:val="002B0728"/>
    <w:rsid w:val="002B1B8E"/>
    <w:rsid w:val="00364EA2"/>
    <w:rsid w:val="00425FEE"/>
    <w:rsid w:val="005D4537"/>
    <w:rsid w:val="0068623F"/>
    <w:rsid w:val="006C0BD0"/>
    <w:rsid w:val="00706D7B"/>
    <w:rsid w:val="0071363C"/>
    <w:rsid w:val="00727EFD"/>
    <w:rsid w:val="007A7643"/>
    <w:rsid w:val="007C3461"/>
    <w:rsid w:val="00896890"/>
    <w:rsid w:val="00925457"/>
    <w:rsid w:val="00957B0E"/>
    <w:rsid w:val="00983FE1"/>
    <w:rsid w:val="00984BE0"/>
    <w:rsid w:val="009C0CFF"/>
    <w:rsid w:val="00A85972"/>
    <w:rsid w:val="00AF3675"/>
    <w:rsid w:val="00B633A4"/>
    <w:rsid w:val="00B637D6"/>
    <w:rsid w:val="00B824F8"/>
    <w:rsid w:val="00C00E93"/>
    <w:rsid w:val="00CB48A4"/>
    <w:rsid w:val="00D97F80"/>
    <w:rsid w:val="00DA591B"/>
    <w:rsid w:val="00E52AA9"/>
    <w:rsid w:val="00E84953"/>
    <w:rsid w:val="00EF55B6"/>
    <w:rsid w:val="00F04E25"/>
    <w:rsid w:val="00F45DE8"/>
    <w:rsid w:val="00F5750B"/>
    <w:rsid w:val="00FE6DFD"/>
    <w:rsid w:val="316F2421"/>
    <w:rsid w:val="505327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2017-10-29T10:05:00Z</dcterms:created>
  <dcterms:modified xsi:type="dcterms:W3CDTF">2017-10-29T10:05:00Z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