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32" w:rsidRDefault="00E71929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工程管理专业辅修培养方案</w:t>
      </w:r>
      <w:r>
        <w:rPr>
          <w:rFonts w:hint="eastAsia"/>
          <w:szCs w:val="21"/>
        </w:rPr>
        <w:t> </w:t>
      </w:r>
    </w:p>
    <w:p w:rsidR="002F7532" w:rsidRDefault="00E71929">
      <w:pPr>
        <w:pStyle w:val="1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2F7532" w:rsidRDefault="00E71929">
      <w:pPr>
        <w:pStyle w:val="a3"/>
        <w:spacing w:line="360" w:lineRule="auto"/>
        <w:ind w:leftChars="0" w:left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微软雅黑" w:hint="eastAsia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="微软雅黑" w:hint="eastAsia"/>
          <w:sz w:val="21"/>
          <w:szCs w:val="21"/>
        </w:rPr>
        <w:t>培养德、智、体全面发展，适应加入</w:t>
      </w:r>
      <w:r>
        <w:rPr>
          <w:rFonts w:asciiTheme="minorEastAsia" w:eastAsiaTheme="minorEastAsia" w:hAnsiTheme="minorEastAsia" w:cs="微软雅黑"/>
          <w:sz w:val="21"/>
          <w:szCs w:val="21"/>
        </w:rPr>
        <w:t>WTO</w:t>
      </w:r>
      <w:r>
        <w:rPr>
          <w:rFonts w:asciiTheme="minorEastAsia" w:eastAsiaTheme="minorEastAsia" w:hAnsiTheme="minorEastAsia" w:cs="微软雅黑" w:hint="eastAsia"/>
          <w:sz w:val="21"/>
          <w:szCs w:val="21"/>
        </w:rPr>
        <w:t>以后</w:t>
      </w:r>
      <w:r>
        <w:rPr>
          <w:rFonts w:asciiTheme="minorEastAsia" w:eastAsiaTheme="minorEastAsia" w:hAnsiTheme="minorEastAsia" w:cs="微软雅黑"/>
          <w:sz w:val="21"/>
          <w:szCs w:val="21"/>
        </w:rPr>
        <w:t>21</w:t>
      </w:r>
      <w:r>
        <w:rPr>
          <w:rFonts w:asciiTheme="minorEastAsia" w:eastAsiaTheme="minorEastAsia" w:hAnsiTheme="minorEastAsia" w:cs="微软雅黑" w:hint="eastAsia"/>
          <w:sz w:val="21"/>
          <w:szCs w:val="21"/>
        </w:rPr>
        <w:t>世纪社会经济发展和社会主义现代化建设需要，具备管理学、经济学、土木工程技术、计算机管理和外语的基本知识，掌握现代化管理科学的理论方法和手段，能在国内外工程建设领域（如建筑企业、房地产业、监理公司、工程咨询业及其主管部门等）从事项目整体规划、项目决策、项目全过程管理、建筑企业生产与经营、工程咨询与建设监理、技术经济分析和工程管理科学研究等工作的复合型管理人才。</w:t>
      </w:r>
    </w:p>
    <w:p w:rsidR="002F7532" w:rsidRDefault="00E71929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</w:t>
      </w:r>
      <w:r>
        <w:rPr>
          <w:rFonts w:ascii="黑体" w:eastAsia="黑体" w:hAnsi="黑体" w:hint="eastAsia"/>
          <w:sz w:val="28"/>
          <w:szCs w:val="28"/>
        </w:rPr>
        <w:t>要求</w:t>
      </w:r>
    </w:p>
    <w:p w:rsidR="002F7532" w:rsidRDefault="00E71929" w:rsidP="00E71929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微软雅黑" w:hint="eastAsia"/>
          <w:szCs w:val="21"/>
        </w:rPr>
        <w:t>系统学习土木工程相关基础知识、掌握工程管理领域的管理、经济、法律方面的理论与方法、具备良好的思想素养和健康体魄，拥有适应服务社会的能力。</w:t>
      </w:r>
    </w:p>
    <w:p w:rsidR="002F7532" w:rsidRDefault="00E71929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2F7532" w:rsidRDefault="00E71929" w:rsidP="00E71929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的学生必须预修</w:t>
      </w:r>
      <w:r>
        <w:rPr>
          <w:rFonts w:ascii="宋体" w:eastAsia="宋体" w:hAnsi="宋体" w:cs="微软雅黑" w:hint="eastAsia"/>
          <w:szCs w:val="21"/>
        </w:rPr>
        <w:t>10</w:t>
      </w:r>
      <w:r>
        <w:rPr>
          <w:rFonts w:ascii="宋体" w:eastAsia="宋体" w:hAnsi="宋体" w:cs="微软雅黑" w:hint="eastAsia"/>
          <w:szCs w:val="21"/>
        </w:rPr>
        <w:t>学分以上高等数学（</w:t>
      </w:r>
      <w:r>
        <w:rPr>
          <w:rFonts w:ascii="宋体" w:eastAsia="宋体" w:hAnsi="宋体" w:cs="微软雅黑" w:hint="eastAsia"/>
          <w:szCs w:val="21"/>
        </w:rPr>
        <w:t>B</w:t>
      </w:r>
      <w:r>
        <w:rPr>
          <w:rFonts w:ascii="宋体" w:eastAsia="宋体" w:hAnsi="宋体" w:cs="微软雅黑"/>
          <w:szCs w:val="21"/>
        </w:rPr>
        <w:fldChar w:fldCharType="begin"/>
      </w:r>
      <w:r>
        <w:rPr>
          <w:rFonts w:ascii="宋体" w:eastAsia="宋体" w:hAnsi="宋体" w:cs="微软雅黑" w:hint="eastAsia"/>
          <w:szCs w:val="21"/>
        </w:rPr>
        <w:instrText>= 1 \* ROMAN</w:instrText>
      </w:r>
      <w:r>
        <w:rPr>
          <w:rFonts w:ascii="宋体" w:eastAsia="宋体" w:hAnsi="宋体" w:cs="微软雅黑"/>
          <w:szCs w:val="21"/>
        </w:rPr>
        <w:fldChar w:fldCharType="separate"/>
      </w:r>
      <w:r>
        <w:rPr>
          <w:rFonts w:ascii="宋体" w:eastAsia="宋体" w:hAnsi="宋体" w:cs="微软雅黑"/>
          <w:szCs w:val="21"/>
        </w:rPr>
        <w:t>I</w:t>
      </w:r>
      <w:r>
        <w:rPr>
          <w:rFonts w:ascii="宋体" w:eastAsia="宋体" w:hAnsi="宋体" w:cs="微软雅黑"/>
          <w:szCs w:val="21"/>
        </w:rPr>
        <w:fldChar w:fldCharType="end"/>
      </w:r>
      <w:r>
        <w:rPr>
          <w:rFonts w:ascii="宋体" w:eastAsia="宋体" w:hAnsi="宋体" w:cs="微软雅黑" w:hint="eastAsia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B</w:t>
      </w:r>
      <w:r>
        <w:rPr>
          <w:rFonts w:ascii="宋体" w:eastAsia="宋体" w:hAnsi="宋体" w:cs="微软雅黑"/>
          <w:szCs w:val="21"/>
        </w:rPr>
        <w:fldChar w:fldCharType="begin"/>
      </w:r>
      <w:r>
        <w:rPr>
          <w:rFonts w:ascii="宋体" w:eastAsia="宋体" w:hAnsi="宋体" w:cs="微软雅黑" w:hint="eastAsia"/>
          <w:szCs w:val="21"/>
        </w:rPr>
        <w:instrText>= 2 \* ROMAN</w:instrText>
      </w:r>
      <w:r>
        <w:rPr>
          <w:rFonts w:ascii="宋体" w:eastAsia="宋体" w:hAnsi="宋体" w:cs="微软雅黑"/>
          <w:szCs w:val="21"/>
        </w:rPr>
        <w:fldChar w:fldCharType="separate"/>
      </w:r>
      <w:r>
        <w:rPr>
          <w:rFonts w:ascii="宋体" w:eastAsia="宋体" w:hAnsi="宋体" w:cs="微软雅黑"/>
          <w:szCs w:val="21"/>
        </w:rPr>
        <w:t>II</w:t>
      </w:r>
      <w:r>
        <w:rPr>
          <w:rFonts w:ascii="宋体" w:eastAsia="宋体" w:hAnsi="宋体" w:cs="微软雅黑"/>
          <w:szCs w:val="21"/>
        </w:rPr>
        <w:fldChar w:fldCharType="end"/>
      </w:r>
      <w:r>
        <w:rPr>
          <w:rFonts w:ascii="宋体" w:eastAsia="宋体" w:hAnsi="宋体" w:cs="微软雅黑" w:hint="eastAsia"/>
          <w:szCs w:val="21"/>
        </w:rPr>
        <w:t>），在此基础上修学本专业的</w:t>
      </w:r>
      <w:r>
        <w:rPr>
          <w:rFonts w:ascii="宋体" w:eastAsia="宋体" w:hAnsi="宋体" w:cs="微软雅黑" w:hint="eastAsia"/>
          <w:szCs w:val="21"/>
        </w:rPr>
        <w:t>37</w:t>
      </w:r>
      <w:r>
        <w:rPr>
          <w:rFonts w:ascii="宋体" w:eastAsia="宋体" w:hAnsi="宋体" w:cs="微软雅黑" w:hint="eastAsia"/>
          <w:szCs w:val="21"/>
        </w:rPr>
        <w:t>学分核心必修课（及</w:t>
      </w:r>
      <w:r>
        <w:rPr>
          <w:rFonts w:ascii="宋体" w:eastAsia="宋体" w:hAnsi="宋体" w:cs="微软雅黑" w:hint="eastAsia"/>
          <w:szCs w:val="21"/>
        </w:rPr>
        <w:t>32</w:t>
      </w:r>
      <w:r>
        <w:rPr>
          <w:rFonts w:ascii="宋体" w:eastAsia="宋体" w:hAnsi="宋体" w:cs="微软雅黑" w:hint="eastAsia"/>
          <w:szCs w:val="21"/>
        </w:rPr>
        <w:t>学分专业基础课，不计入总学分），并符合《西南交通大学本科生辅修与双学位管理办法》规定者，方可颁发本专业辅修证书。</w:t>
      </w:r>
    </w:p>
    <w:p w:rsidR="002F7532" w:rsidRDefault="00E71929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a7"/>
        <w:tblW w:w="8397" w:type="dxa"/>
        <w:jc w:val="center"/>
        <w:tblInd w:w="-183" w:type="dxa"/>
        <w:tblLayout w:type="fixed"/>
        <w:tblLook w:val="04A0" w:firstRow="1" w:lastRow="0" w:firstColumn="1" w:lastColumn="0" w:noHBand="0" w:noVBand="1"/>
      </w:tblPr>
      <w:tblGrid>
        <w:gridCol w:w="1610"/>
        <w:gridCol w:w="2376"/>
        <w:gridCol w:w="1284"/>
        <w:gridCol w:w="895"/>
        <w:gridCol w:w="1116"/>
        <w:gridCol w:w="1116"/>
      </w:tblGrid>
      <w:tr w:rsidR="002F7532" w:rsidTr="00E71929">
        <w:trPr>
          <w:trHeight w:val="340"/>
          <w:jc w:val="center"/>
        </w:trPr>
        <w:tc>
          <w:tcPr>
            <w:tcW w:w="1610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学科基础课</w:t>
            </w:r>
          </w:p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18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生产管理学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专业基础课</w:t>
            </w:r>
          </w:p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32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（由于工程管理专业的特殊性，专业基础课与土木工程学科基本相同，所以不计入总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lastRenderedPageBreak/>
              <w:t>学分）</w:t>
            </w: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lastRenderedPageBreak/>
              <w:t>土木工程制图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混凝土结构设计原理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工程测量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AI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地学学院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材料力学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AI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结构力学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AI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力学学院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理论力学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力学学院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建筑材料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钢结构设计原理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建筑学院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建筑施工技术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专业课</w:t>
            </w:r>
          </w:p>
          <w:p w:rsidR="002F7532" w:rsidRDefault="00E71929" w:rsidP="00E71929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19</w:t>
            </w: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工程合同管理与法律法规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工程经济学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工程项目采购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项目融资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工程项目评估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工程估价与案例分析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2F7532" w:rsidRDefault="002F7532">
            <w:pPr>
              <w:ind w:left="181" w:hangingChars="100" w:hanging="181"/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工程成本规划与控制</w:t>
            </w:r>
          </w:p>
        </w:tc>
        <w:tc>
          <w:tcPr>
            <w:tcW w:w="1284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经管学院</w:t>
            </w:r>
          </w:p>
        </w:tc>
      </w:tr>
      <w:tr w:rsidR="002F7532" w:rsidTr="00E71929">
        <w:trPr>
          <w:trHeight w:val="340"/>
          <w:jc w:val="center"/>
        </w:trPr>
        <w:tc>
          <w:tcPr>
            <w:tcW w:w="5270" w:type="dxa"/>
            <w:gridSpan w:val="3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2F7532" w:rsidRDefault="00E71929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37</w:t>
            </w:r>
          </w:p>
        </w:tc>
      </w:tr>
    </w:tbl>
    <w:p w:rsidR="002F7532" w:rsidRDefault="002F7532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2F7532" w:rsidRDefault="002F7532" w:rsidP="00E71929">
      <w:pPr>
        <w:widowControl/>
        <w:snapToGrid w:val="0"/>
        <w:spacing w:line="360" w:lineRule="auto"/>
        <w:rPr>
          <w:rFonts w:ascii="宋体" w:eastAsia="宋体" w:hAnsi="宋体"/>
          <w:szCs w:val="21"/>
        </w:rPr>
      </w:pPr>
      <w:bookmarkStart w:id="0" w:name="_GoBack"/>
      <w:bookmarkEnd w:id="0"/>
    </w:p>
    <w:sectPr w:rsidR="002F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6E05"/>
    <w:multiLevelType w:val="multilevel"/>
    <w:tmpl w:val="0EE16E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BA"/>
    <w:rsid w:val="00055AF8"/>
    <w:rsid w:val="00097FCE"/>
    <w:rsid w:val="00143CDF"/>
    <w:rsid w:val="00172833"/>
    <w:rsid w:val="00197DCB"/>
    <w:rsid w:val="001E3AC3"/>
    <w:rsid w:val="00206CFA"/>
    <w:rsid w:val="00257ADA"/>
    <w:rsid w:val="0027712C"/>
    <w:rsid w:val="00286B91"/>
    <w:rsid w:val="002F7532"/>
    <w:rsid w:val="00325BA4"/>
    <w:rsid w:val="00364EDE"/>
    <w:rsid w:val="003865D8"/>
    <w:rsid w:val="003A10DB"/>
    <w:rsid w:val="004D647B"/>
    <w:rsid w:val="00524974"/>
    <w:rsid w:val="005277A7"/>
    <w:rsid w:val="00552796"/>
    <w:rsid w:val="0058222E"/>
    <w:rsid w:val="006238DA"/>
    <w:rsid w:val="00637905"/>
    <w:rsid w:val="0069410E"/>
    <w:rsid w:val="00696959"/>
    <w:rsid w:val="006E566A"/>
    <w:rsid w:val="006F197F"/>
    <w:rsid w:val="00727FB3"/>
    <w:rsid w:val="007E5FF2"/>
    <w:rsid w:val="00830936"/>
    <w:rsid w:val="008E4664"/>
    <w:rsid w:val="008E6FC1"/>
    <w:rsid w:val="00952F7C"/>
    <w:rsid w:val="00981382"/>
    <w:rsid w:val="00985F6C"/>
    <w:rsid w:val="009B7E1F"/>
    <w:rsid w:val="00AA7A28"/>
    <w:rsid w:val="00AB0FBA"/>
    <w:rsid w:val="00AF757C"/>
    <w:rsid w:val="00B01BB6"/>
    <w:rsid w:val="00B20EDE"/>
    <w:rsid w:val="00B2792A"/>
    <w:rsid w:val="00B43451"/>
    <w:rsid w:val="00B44C24"/>
    <w:rsid w:val="00B86035"/>
    <w:rsid w:val="00C0168A"/>
    <w:rsid w:val="00C23F66"/>
    <w:rsid w:val="00C5705B"/>
    <w:rsid w:val="00C828C6"/>
    <w:rsid w:val="00D933A7"/>
    <w:rsid w:val="00E15974"/>
    <w:rsid w:val="00E36BE4"/>
    <w:rsid w:val="00E71929"/>
    <w:rsid w:val="00E84953"/>
    <w:rsid w:val="00EA4DAA"/>
    <w:rsid w:val="00EC14A4"/>
    <w:rsid w:val="00F01BE0"/>
    <w:rsid w:val="00F20062"/>
    <w:rsid w:val="00F94009"/>
    <w:rsid w:val="00FF7E10"/>
    <w:rsid w:val="7A410FBE"/>
    <w:rsid w:val="7C0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2017-10-29T09:11:00Z</dcterms:created>
  <dcterms:modified xsi:type="dcterms:W3CDTF">2017-10-29T09:11:00Z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