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FC" w:rsidRDefault="00654685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工业</w:t>
      </w:r>
      <w:r>
        <w:rPr>
          <w:rFonts w:ascii="黑体" w:eastAsia="黑体" w:hAnsi="黑体"/>
          <w:b/>
          <w:sz w:val="32"/>
          <w:szCs w:val="32"/>
        </w:rPr>
        <w:t>工程</w:t>
      </w:r>
      <w:r>
        <w:rPr>
          <w:rFonts w:ascii="黑体" w:eastAsia="黑体" w:hAnsi="黑体" w:hint="eastAsia"/>
          <w:b/>
          <w:sz w:val="32"/>
          <w:szCs w:val="32"/>
        </w:rPr>
        <w:t>专业辅修培养方案</w:t>
      </w:r>
      <w:r>
        <w:rPr>
          <w:rFonts w:hint="eastAsia"/>
          <w:szCs w:val="21"/>
        </w:rPr>
        <w:t> </w:t>
      </w:r>
    </w:p>
    <w:p w:rsidR="00B16EFC" w:rsidRDefault="00654685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B16EFC" w:rsidRDefault="0065468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本专业培养具备一定</w:t>
      </w:r>
      <w:r>
        <w:rPr>
          <w:rFonts w:ascii="宋体" w:eastAsia="宋体" w:hAnsi="宋体" w:cs="微软雅黑"/>
          <w:szCs w:val="21"/>
        </w:rPr>
        <w:t>的</w:t>
      </w:r>
      <w:r>
        <w:rPr>
          <w:rFonts w:ascii="宋体" w:eastAsia="宋体" w:hAnsi="宋体" w:cs="微软雅黑" w:hint="eastAsia"/>
          <w:szCs w:val="21"/>
        </w:rPr>
        <w:t>机械工程技术基础，又掌握现代管理科学与系统科学的理论和方法，具有良好的科学文化素质、知识更新能力、创新思维能力，能够综合运用数学</w:t>
      </w:r>
      <w:r>
        <w:rPr>
          <w:rFonts w:ascii="宋体" w:eastAsia="宋体" w:hAnsi="宋体" w:cs="微软雅黑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自然科学与现代管理科学的方法与技术，对生产与服务系统进行规划、设计、控制、评价、决策、持续改善与创新，能在生产和服务领域从事管理的高级应用型人才。</w:t>
      </w:r>
    </w:p>
    <w:p w:rsidR="00B16EFC" w:rsidRDefault="00654685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B16EFC" w:rsidRDefault="0065468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1</w:t>
      </w:r>
      <w:r>
        <w:rPr>
          <w:rFonts w:ascii="宋体" w:eastAsia="宋体" w:hAnsi="宋体" w:cs="微软雅黑" w:hint="eastAsia"/>
          <w:szCs w:val="21"/>
        </w:rPr>
        <w:t>.</w:t>
      </w:r>
      <w:r>
        <w:rPr>
          <w:rFonts w:ascii="宋体" w:eastAsia="宋体" w:hAnsi="宋体" w:cs="微软雅黑" w:hint="eastAsia"/>
          <w:szCs w:val="21"/>
        </w:rPr>
        <w:t>掌握工业工程的基础理论和专业知识，并能用于解决生产</w:t>
      </w:r>
      <w:r>
        <w:rPr>
          <w:rFonts w:ascii="宋体" w:eastAsia="宋体" w:hAnsi="宋体" w:cs="微软雅黑"/>
          <w:szCs w:val="21"/>
        </w:rPr>
        <w:t>和服务领域的</w:t>
      </w:r>
      <w:r>
        <w:rPr>
          <w:rFonts w:ascii="宋体" w:eastAsia="宋体" w:hAnsi="宋体" w:cs="微软雅黑" w:hint="eastAsia"/>
          <w:szCs w:val="21"/>
        </w:rPr>
        <w:t>工程问题。</w:t>
      </w:r>
    </w:p>
    <w:p w:rsidR="00B16EFC" w:rsidRDefault="0065468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2</w:t>
      </w:r>
      <w:r>
        <w:rPr>
          <w:rFonts w:ascii="宋体" w:eastAsia="宋体" w:hAnsi="宋体" w:cs="微软雅黑" w:hint="eastAsia"/>
          <w:szCs w:val="21"/>
        </w:rPr>
        <w:t>.</w:t>
      </w:r>
      <w:r>
        <w:rPr>
          <w:rFonts w:ascii="宋体" w:eastAsia="宋体" w:hAnsi="宋体" w:cs="微软雅黑" w:hint="eastAsia"/>
          <w:szCs w:val="21"/>
        </w:rPr>
        <w:t>能够</w:t>
      </w:r>
      <w:r>
        <w:rPr>
          <w:rFonts w:ascii="宋体" w:eastAsia="宋体" w:hAnsi="宋体" w:cs="微软雅黑"/>
          <w:szCs w:val="21"/>
        </w:rPr>
        <w:t>综合运用数学、自然科学和工业工程的基础理论，</w:t>
      </w:r>
      <w:r>
        <w:rPr>
          <w:rFonts w:ascii="宋体" w:eastAsia="宋体" w:hAnsi="宋体" w:cs="微软雅黑" w:hint="eastAsia"/>
          <w:szCs w:val="21"/>
        </w:rPr>
        <w:t>对生产与服务系统进行规划、设计、控制、评价、决策、持续改善与创新。</w:t>
      </w:r>
    </w:p>
    <w:p w:rsidR="00B16EFC" w:rsidRDefault="00654685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B16EFC" w:rsidRDefault="0065468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选工业</w:t>
      </w:r>
      <w:r>
        <w:rPr>
          <w:rFonts w:ascii="宋体" w:eastAsia="宋体" w:hAnsi="宋体" w:cs="微软雅黑"/>
          <w:szCs w:val="21"/>
        </w:rPr>
        <w:t>工程</w:t>
      </w:r>
      <w:r>
        <w:rPr>
          <w:rFonts w:ascii="宋体" w:eastAsia="宋体" w:hAnsi="宋体" w:cs="微软雅黑" w:hint="eastAsia"/>
          <w:szCs w:val="21"/>
        </w:rPr>
        <w:t>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34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  <w:bookmarkStart w:id="0" w:name="_GoBack"/>
      <w:bookmarkEnd w:id="0"/>
    </w:p>
    <w:p w:rsidR="00B16EFC" w:rsidRDefault="00654685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a5"/>
        <w:tblW w:w="8123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1952"/>
        <w:gridCol w:w="1434"/>
        <w:gridCol w:w="895"/>
        <w:gridCol w:w="1116"/>
        <w:gridCol w:w="1116"/>
      </w:tblGrid>
      <w:tr w:rsidR="00B16EFC">
        <w:trPr>
          <w:trHeight w:val="340"/>
          <w:jc w:val="center"/>
        </w:trPr>
        <w:tc>
          <w:tcPr>
            <w:tcW w:w="1610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B16EFC">
        <w:trPr>
          <w:trHeight w:val="460"/>
          <w:jc w:val="center"/>
        </w:trPr>
        <w:tc>
          <w:tcPr>
            <w:tcW w:w="1610" w:type="dxa"/>
            <w:vMerge w:val="restart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B16EFC" w:rsidRDefault="00654685" w:rsidP="00A27C6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原理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经管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经管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B16EFC" w:rsidRDefault="00654685" w:rsidP="00A27C6A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经管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工业工程基础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系统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工程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生产规划与控制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B16EFC" w:rsidRDefault="00654685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B16EFC" w:rsidRDefault="00654685" w:rsidP="00A27C6A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工效学与作业设计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质量管理与可靠性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物流分析与设施规划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供应链管理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春季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B16EFC" w:rsidRDefault="00B16EFC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先进制造系统</w:t>
            </w:r>
          </w:p>
        </w:tc>
        <w:tc>
          <w:tcPr>
            <w:tcW w:w="1434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秋季</w:t>
            </w:r>
          </w:p>
        </w:tc>
        <w:tc>
          <w:tcPr>
            <w:tcW w:w="1116" w:type="dxa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机械</w:t>
            </w:r>
          </w:p>
        </w:tc>
      </w:tr>
      <w:tr w:rsidR="00B16EFC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B16EFC" w:rsidRDefault="0065468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34</w:t>
            </w:r>
          </w:p>
        </w:tc>
      </w:tr>
    </w:tbl>
    <w:p w:rsidR="00B16EFC" w:rsidRDefault="00B16EFC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B16EFC" w:rsidRDefault="00B16EFC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B16EFC" w:rsidRDefault="00B16EFC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</w:p>
    <w:sectPr w:rsidR="00B1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85" w:rsidRDefault="00654685" w:rsidP="00A27C6A">
      <w:r>
        <w:separator/>
      </w:r>
    </w:p>
  </w:endnote>
  <w:endnote w:type="continuationSeparator" w:id="0">
    <w:p w:rsidR="00654685" w:rsidRDefault="00654685" w:rsidP="00A2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85" w:rsidRDefault="00654685" w:rsidP="00A27C6A">
      <w:r>
        <w:separator/>
      </w:r>
    </w:p>
  </w:footnote>
  <w:footnote w:type="continuationSeparator" w:id="0">
    <w:p w:rsidR="00654685" w:rsidRDefault="00654685" w:rsidP="00A2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2B0728"/>
    <w:rsid w:val="00346C84"/>
    <w:rsid w:val="00364EA2"/>
    <w:rsid w:val="00425FEE"/>
    <w:rsid w:val="00443D51"/>
    <w:rsid w:val="005D4537"/>
    <w:rsid w:val="006126F3"/>
    <w:rsid w:val="00654685"/>
    <w:rsid w:val="006C0BD0"/>
    <w:rsid w:val="0071363C"/>
    <w:rsid w:val="00727EFD"/>
    <w:rsid w:val="00796FC7"/>
    <w:rsid w:val="007A7643"/>
    <w:rsid w:val="007C3461"/>
    <w:rsid w:val="00867F87"/>
    <w:rsid w:val="008A5F28"/>
    <w:rsid w:val="008C75AC"/>
    <w:rsid w:val="00984BE0"/>
    <w:rsid w:val="009C0CFF"/>
    <w:rsid w:val="00A27C6A"/>
    <w:rsid w:val="00A46FC2"/>
    <w:rsid w:val="00A52578"/>
    <w:rsid w:val="00B16EFC"/>
    <w:rsid w:val="00B633A4"/>
    <w:rsid w:val="00B637D6"/>
    <w:rsid w:val="00B824F8"/>
    <w:rsid w:val="00BE1498"/>
    <w:rsid w:val="00C00E93"/>
    <w:rsid w:val="00D839F5"/>
    <w:rsid w:val="00E84953"/>
    <w:rsid w:val="2AB7512B"/>
    <w:rsid w:val="461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2017-10-28T15:44:00Z</dcterms:created>
  <dcterms:modified xsi:type="dcterms:W3CDTF">2017-10-28T15:44:00Z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