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88" w:rsidRDefault="007B2FC3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工业</w:t>
      </w:r>
      <w:r>
        <w:rPr>
          <w:rFonts w:ascii="黑体" w:eastAsia="黑体" w:hAnsi="黑体"/>
          <w:b/>
          <w:sz w:val="32"/>
          <w:szCs w:val="32"/>
        </w:rPr>
        <w:t>工程</w:t>
      </w:r>
      <w:r>
        <w:rPr>
          <w:rFonts w:ascii="黑体" w:eastAsia="黑体" w:hAnsi="黑体" w:hint="eastAsia"/>
          <w:b/>
          <w:sz w:val="32"/>
          <w:szCs w:val="32"/>
        </w:rPr>
        <w:t>专业双学位培养方案</w:t>
      </w:r>
      <w:r>
        <w:rPr>
          <w:rFonts w:hint="eastAsia"/>
          <w:szCs w:val="21"/>
        </w:rPr>
        <w:t> </w:t>
      </w:r>
    </w:p>
    <w:p w:rsidR="00F00688" w:rsidRDefault="007B2FC3">
      <w:pPr>
        <w:pStyle w:val="1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F00688" w:rsidRDefault="007B2FC3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本专业培养适应国家建设和经济发展需要，德、智、体全面发展的，既具备一定的机械工程技术基础，又掌握现代管理科学与系统科学的理论和方法，具有良好的科学文化素质、知识更新能力、创新思维能力，能够综合运用自然科学、机械工程与现代管理科学的方法与技术，对生产与服务系统进行规划、设计、控制、评价、决策、持续改善与创新，既懂技术又懂管理，能在生产和服务领域从事技术和管理的高级复合型人才。</w:t>
      </w:r>
    </w:p>
    <w:p w:rsidR="00F00688" w:rsidRDefault="007B2FC3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二、毕业要求</w:t>
      </w:r>
    </w:p>
    <w:p w:rsidR="00F00688" w:rsidRDefault="007B2FC3">
      <w:pPr>
        <w:spacing w:line="276" w:lineRule="auto"/>
        <w:ind w:firstLine="420"/>
        <w:rPr>
          <w:rFonts w:ascii="宋体" w:eastAsia="宋体" w:hAnsi="宋体" w:cs="宋体"/>
          <w:kern w:val="0"/>
          <w:szCs w:val="20"/>
        </w:rPr>
      </w:pPr>
      <w:r>
        <w:rPr>
          <w:rFonts w:ascii="宋体" w:eastAsia="宋体" w:hAnsi="宋体" w:cs="宋体"/>
          <w:kern w:val="0"/>
          <w:szCs w:val="20"/>
        </w:rPr>
        <w:t>1.</w:t>
      </w:r>
      <w:r>
        <w:rPr>
          <w:rFonts w:ascii="宋体" w:eastAsia="宋体" w:hAnsi="宋体" w:cs="宋体" w:hint="eastAsia"/>
          <w:kern w:val="0"/>
          <w:szCs w:val="20"/>
        </w:rPr>
        <w:t>掌握必要的数学、自然科学知识，具备知识应用和推理能力，为理解和抽象描述生产过程问题奠定基础。</w:t>
      </w:r>
    </w:p>
    <w:p w:rsidR="00F00688" w:rsidRDefault="007B2FC3">
      <w:pPr>
        <w:spacing w:line="276" w:lineRule="auto"/>
        <w:ind w:firstLine="420"/>
        <w:rPr>
          <w:rFonts w:ascii="宋体" w:eastAsia="宋体" w:hAnsi="宋体" w:cs="宋体"/>
          <w:kern w:val="0"/>
          <w:szCs w:val="20"/>
        </w:rPr>
      </w:pPr>
      <w:r>
        <w:rPr>
          <w:rFonts w:ascii="宋体" w:eastAsia="宋体" w:hAnsi="宋体" w:cs="宋体"/>
          <w:kern w:val="0"/>
          <w:szCs w:val="20"/>
        </w:rPr>
        <w:t>2.</w:t>
      </w:r>
      <w:r>
        <w:rPr>
          <w:rFonts w:ascii="宋体" w:eastAsia="宋体" w:hAnsi="宋体" w:cs="宋体" w:hint="eastAsia"/>
          <w:kern w:val="0"/>
          <w:szCs w:val="20"/>
        </w:rPr>
        <w:t>掌握必要工业工程基础和专业领域知识，掌握工业工程的一般原理和分析工程问题的方法，并能将其用于解决复杂工程问题。</w:t>
      </w:r>
    </w:p>
    <w:p w:rsidR="00F00688" w:rsidRDefault="007B2FC3">
      <w:pPr>
        <w:spacing w:line="276" w:lineRule="auto"/>
        <w:ind w:firstLine="420"/>
        <w:rPr>
          <w:rFonts w:ascii="宋体" w:eastAsia="宋体" w:hAnsi="宋体" w:cs="宋体"/>
          <w:kern w:val="0"/>
          <w:szCs w:val="20"/>
        </w:rPr>
      </w:pPr>
      <w:r>
        <w:rPr>
          <w:rFonts w:ascii="宋体" w:eastAsia="宋体" w:hAnsi="宋体" w:cs="宋体"/>
          <w:kern w:val="0"/>
          <w:szCs w:val="20"/>
        </w:rPr>
        <w:t xml:space="preserve">3. </w:t>
      </w:r>
      <w:r>
        <w:rPr>
          <w:rFonts w:ascii="宋体" w:eastAsia="宋体" w:hAnsi="宋体" w:cs="宋体" w:hint="eastAsia"/>
          <w:kern w:val="0"/>
          <w:szCs w:val="20"/>
        </w:rPr>
        <w:t>能够综合应用数学、自然科学和工程科学的基本原理，识别、表达、并通过文献研究分析复杂工程问题，以获得有效结论。</w:t>
      </w:r>
    </w:p>
    <w:p w:rsidR="00F00688" w:rsidRDefault="007B2FC3">
      <w:pPr>
        <w:spacing w:line="276" w:lineRule="auto"/>
        <w:ind w:firstLineChars="200" w:firstLine="420"/>
        <w:rPr>
          <w:rFonts w:ascii="宋体" w:eastAsia="宋体" w:hAnsi="Calibri" w:cs="黑体"/>
          <w:kern w:val="0"/>
          <w:szCs w:val="21"/>
        </w:rPr>
      </w:pPr>
      <w:r>
        <w:rPr>
          <w:rFonts w:ascii="宋体" w:eastAsia="宋体" w:hAnsi="宋体" w:cs="黑体"/>
          <w:kern w:val="0"/>
          <w:szCs w:val="21"/>
        </w:rPr>
        <w:t xml:space="preserve">4. </w:t>
      </w:r>
      <w:r>
        <w:rPr>
          <w:rFonts w:ascii="宋体" w:eastAsia="宋体" w:hAnsi="宋体" w:cs="黑体" w:hint="eastAsia"/>
          <w:kern w:val="0"/>
          <w:szCs w:val="21"/>
        </w:rPr>
        <w:t>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 w:rsidR="00F00688" w:rsidRDefault="007B2FC3">
      <w:pPr>
        <w:spacing w:line="276" w:lineRule="auto"/>
        <w:ind w:firstLineChars="200" w:firstLine="420"/>
        <w:rPr>
          <w:rFonts w:ascii="宋体" w:eastAsia="宋体" w:hAnsi="Calibri" w:cs="黑体"/>
          <w:kern w:val="0"/>
          <w:szCs w:val="21"/>
        </w:rPr>
      </w:pPr>
      <w:r>
        <w:rPr>
          <w:rFonts w:ascii="宋体" w:eastAsia="宋体" w:hAnsi="宋体" w:cs="黑体"/>
          <w:kern w:val="0"/>
          <w:szCs w:val="21"/>
        </w:rPr>
        <w:t xml:space="preserve">5. </w:t>
      </w:r>
      <w:r>
        <w:rPr>
          <w:rFonts w:ascii="宋体" w:eastAsia="宋体" w:hAnsi="宋体" w:cs="黑体" w:hint="eastAsia"/>
          <w:kern w:val="0"/>
          <w:szCs w:val="21"/>
        </w:rPr>
        <w:t>能够基于</w:t>
      </w:r>
      <w:r>
        <w:rPr>
          <w:rFonts w:ascii="宋体" w:eastAsia="宋体" w:hAnsi="宋体" w:cs="黑体" w:hint="eastAsia"/>
          <w:kern w:val="0"/>
          <w:szCs w:val="21"/>
        </w:rPr>
        <w:t>科学原理并采用科学方法对复杂工程问题进行研究，包括设计实验、分析与解释数据、并通过信息综合得到合理有效的结论。</w:t>
      </w:r>
    </w:p>
    <w:p w:rsidR="00F00688" w:rsidRDefault="007B2FC3">
      <w:pPr>
        <w:spacing w:line="276" w:lineRule="auto"/>
        <w:ind w:firstLineChars="200" w:firstLine="420"/>
        <w:rPr>
          <w:rFonts w:ascii="宋体" w:eastAsia="宋体" w:hAnsi="Calibri" w:cs="黑体"/>
          <w:kern w:val="0"/>
          <w:szCs w:val="21"/>
        </w:rPr>
      </w:pPr>
      <w:r>
        <w:rPr>
          <w:rFonts w:ascii="宋体" w:eastAsia="宋体" w:hAnsi="宋体" w:cs="黑体"/>
          <w:kern w:val="0"/>
          <w:szCs w:val="21"/>
        </w:rPr>
        <w:t xml:space="preserve">6. </w:t>
      </w:r>
      <w:r>
        <w:rPr>
          <w:rFonts w:ascii="宋体" w:eastAsia="宋体" w:hAnsi="宋体" w:cs="黑体" w:hint="eastAsia"/>
          <w:kern w:val="0"/>
          <w:szCs w:val="21"/>
        </w:rPr>
        <w:t>能够针对复杂工程问题，开发、选择与使用恰当的技术、资源、现代工程工具和信息技术工具，包括对复杂工程问题的预测与模拟，并能够理解其局限性。</w:t>
      </w:r>
    </w:p>
    <w:p w:rsidR="00F00688" w:rsidRDefault="007B2FC3">
      <w:pPr>
        <w:spacing w:line="276" w:lineRule="auto"/>
        <w:ind w:firstLineChars="200" w:firstLine="420"/>
        <w:rPr>
          <w:rFonts w:ascii="宋体" w:eastAsia="宋体" w:hAnsi="Calibri" w:cs="黑体"/>
          <w:kern w:val="0"/>
          <w:szCs w:val="21"/>
        </w:rPr>
      </w:pPr>
      <w:r>
        <w:rPr>
          <w:rFonts w:ascii="宋体" w:eastAsia="宋体" w:hAnsi="宋体" w:cs="黑体"/>
          <w:kern w:val="0"/>
          <w:szCs w:val="21"/>
        </w:rPr>
        <w:t xml:space="preserve">7. </w:t>
      </w:r>
      <w:r>
        <w:rPr>
          <w:rFonts w:ascii="宋体" w:eastAsia="宋体" w:hAnsi="宋体" w:cs="黑体" w:hint="eastAsia"/>
          <w:kern w:val="0"/>
          <w:szCs w:val="21"/>
        </w:rPr>
        <w:t>能够基于工程相关背景知识进行合理分析，评价工程实践和复杂工程问题解决方案对社会、健康、安全、法律以及文化的影响，并理解应承担的责任。</w:t>
      </w:r>
    </w:p>
    <w:p w:rsidR="00F00688" w:rsidRDefault="007B2FC3">
      <w:pPr>
        <w:spacing w:line="276" w:lineRule="auto"/>
        <w:ind w:firstLineChars="200" w:firstLine="420"/>
        <w:rPr>
          <w:rFonts w:ascii="宋体" w:eastAsia="宋体" w:hAnsi="Calibri" w:cs="黑体"/>
          <w:kern w:val="0"/>
          <w:szCs w:val="21"/>
        </w:rPr>
      </w:pPr>
      <w:r>
        <w:rPr>
          <w:rFonts w:ascii="宋体" w:eastAsia="宋体" w:hAnsi="宋体" w:cs="黑体"/>
          <w:kern w:val="0"/>
          <w:szCs w:val="21"/>
        </w:rPr>
        <w:t xml:space="preserve">8. </w:t>
      </w:r>
      <w:r>
        <w:rPr>
          <w:rFonts w:ascii="宋体" w:eastAsia="宋体" w:hAnsi="宋体" w:cs="黑体" w:hint="eastAsia"/>
          <w:kern w:val="0"/>
          <w:szCs w:val="21"/>
        </w:rPr>
        <w:t>能够理解和评价针对复杂工程问题的专业工程实践对环境、社会可持续发展的影响，并能在工程实践中尽可能减少负面影响。</w:t>
      </w:r>
    </w:p>
    <w:p w:rsidR="00F00688" w:rsidRDefault="007B2FC3">
      <w:pPr>
        <w:spacing w:line="276" w:lineRule="auto"/>
        <w:ind w:firstLineChars="200" w:firstLine="420"/>
        <w:rPr>
          <w:rFonts w:ascii="宋体" w:eastAsia="宋体" w:hAnsi="Calibri" w:cs="黑体"/>
          <w:kern w:val="0"/>
          <w:szCs w:val="21"/>
        </w:rPr>
      </w:pPr>
      <w:r>
        <w:rPr>
          <w:rFonts w:ascii="宋体" w:eastAsia="宋体" w:hAnsi="宋体" w:cs="黑体"/>
          <w:kern w:val="0"/>
          <w:szCs w:val="21"/>
        </w:rPr>
        <w:t xml:space="preserve">9. </w:t>
      </w:r>
      <w:r>
        <w:rPr>
          <w:rFonts w:ascii="宋体" w:eastAsia="宋体" w:hAnsi="宋体" w:cs="黑体" w:hint="eastAsia"/>
          <w:kern w:val="0"/>
          <w:szCs w:val="21"/>
        </w:rPr>
        <w:t>具有人文社会科学素养、社会责任感，能够在工程实践中理解并遵守工程职业道德和规范，履行责任。</w:t>
      </w:r>
      <w:r>
        <w:rPr>
          <w:rFonts w:ascii="宋体" w:eastAsia="宋体" w:hAnsi="宋体" w:cs="黑体"/>
          <w:kern w:val="0"/>
          <w:szCs w:val="21"/>
        </w:rPr>
        <w:t xml:space="preserve"> </w:t>
      </w:r>
    </w:p>
    <w:p w:rsidR="00F00688" w:rsidRDefault="007B2FC3">
      <w:pPr>
        <w:spacing w:line="276" w:lineRule="auto"/>
        <w:ind w:firstLineChars="200" w:firstLine="420"/>
        <w:rPr>
          <w:rFonts w:ascii="宋体" w:eastAsia="宋体" w:hAnsi="Calibri" w:cs="黑体"/>
          <w:kern w:val="0"/>
          <w:szCs w:val="21"/>
        </w:rPr>
      </w:pPr>
      <w:r>
        <w:rPr>
          <w:rFonts w:ascii="宋体" w:eastAsia="宋体" w:hAnsi="宋体" w:cs="黑体"/>
          <w:kern w:val="0"/>
          <w:szCs w:val="21"/>
        </w:rPr>
        <w:t xml:space="preserve">10. </w:t>
      </w:r>
      <w:r>
        <w:rPr>
          <w:rFonts w:ascii="宋体" w:eastAsia="宋体" w:hAnsi="宋体" w:cs="黑体" w:hint="eastAsia"/>
          <w:kern w:val="0"/>
          <w:szCs w:val="21"/>
        </w:rPr>
        <w:t>具有良好的团队和合作意识，能够在多学科背景下的团队中承担个体、团队成员以及负责人的角色。</w:t>
      </w:r>
    </w:p>
    <w:p w:rsidR="00F00688" w:rsidRDefault="007B2FC3">
      <w:pPr>
        <w:spacing w:line="276" w:lineRule="auto"/>
        <w:ind w:firstLineChars="200" w:firstLine="420"/>
        <w:rPr>
          <w:rFonts w:ascii="宋体" w:eastAsia="宋体" w:hAnsi="Calibri" w:cs="黑体"/>
          <w:kern w:val="0"/>
          <w:szCs w:val="21"/>
        </w:rPr>
      </w:pPr>
      <w:r>
        <w:rPr>
          <w:rFonts w:ascii="宋体" w:eastAsia="宋体" w:hAnsi="宋体" w:cs="黑体"/>
          <w:kern w:val="0"/>
          <w:szCs w:val="21"/>
        </w:rPr>
        <w:t xml:space="preserve">11. </w:t>
      </w:r>
      <w:r>
        <w:rPr>
          <w:rFonts w:ascii="宋体" w:eastAsia="宋体" w:hAnsi="宋体" w:cs="黑体" w:hint="eastAsia"/>
          <w:kern w:val="0"/>
          <w:szCs w:val="21"/>
        </w:rPr>
        <w:t>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 w:rsidR="00F00688" w:rsidRDefault="007B2FC3">
      <w:pPr>
        <w:spacing w:line="276" w:lineRule="auto"/>
        <w:ind w:firstLineChars="200" w:firstLine="420"/>
        <w:rPr>
          <w:rFonts w:ascii="宋体" w:eastAsia="宋体" w:hAnsi="Calibri" w:cs="黑体"/>
          <w:kern w:val="0"/>
          <w:szCs w:val="21"/>
        </w:rPr>
      </w:pPr>
      <w:r>
        <w:rPr>
          <w:rFonts w:ascii="宋体" w:eastAsia="宋体" w:hAnsi="宋体" w:cs="黑体"/>
          <w:kern w:val="0"/>
          <w:szCs w:val="21"/>
        </w:rPr>
        <w:t xml:space="preserve">12. </w:t>
      </w:r>
      <w:r>
        <w:rPr>
          <w:rFonts w:ascii="宋体" w:eastAsia="宋体" w:hAnsi="宋体" w:cs="黑体" w:hint="eastAsia"/>
          <w:kern w:val="0"/>
          <w:szCs w:val="21"/>
        </w:rPr>
        <w:t>理解并掌握工程管理原理与经济决策方法，并能在多学科环境中应用。</w:t>
      </w:r>
    </w:p>
    <w:p w:rsidR="00F00688" w:rsidRDefault="007B2FC3">
      <w:pPr>
        <w:spacing w:line="276" w:lineRule="auto"/>
        <w:ind w:firstLineChars="200" w:firstLine="420"/>
        <w:rPr>
          <w:rFonts w:ascii="宋体" w:eastAsia="宋体" w:hAnsi="Calibri" w:cs="黑体"/>
          <w:kern w:val="0"/>
          <w:szCs w:val="21"/>
        </w:rPr>
      </w:pPr>
      <w:r>
        <w:rPr>
          <w:rFonts w:ascii="宋体" w:eastAsia="宋体" w:hAnsi="宋体" w:cs="黑体"/>
          <w:kern w:val="0"/>
          <w:szCs w:val="21"/>
        </w:rPr>
        <w:t xml:space="preserve">13. </w:t>
      </w:r>
      <w:r>
        <w:rPr>
          <w:rFonts w:ascii="宋体" w:eastAsia="宋体" w:hAnsi="宋体" w:cs="黑体" w:hint="eastAsia"/>
          <w:kern w:val="0"/>
          <w:szCs w:val="21"/>
        </w:rPr>
        <w:t>具有自主学习和终身学习的意识，有不断学习和适应发展的能</w:t>
      </w:r>
      <w:r>
        <w:rPr>
          <w:rFonts w:ascii="宋体" w:eastAsia="宋体" w:hAnsi="宋体" w:cs="黑体" w:hint="eastAsia"/>
          <w:kern w:val="0"/>
          <w:szCs w:val="21"/>
        </w:rPr>
        <w:t>力。</w:t>
      </w:r>
    </w:p>
    <w:p w:rsidR="00F00688" w:rsidRDefault="007B2FC3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三、学分要求</w:t>
      </w:r>
    </w:p>
    <w:p w:rsidR="00F00688" w:rsidRDefault="007B2FC3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选择</w:t>
      </w:r>
      <w:r>
        <w:rPr>
          <w:rFonts w:ascii="宋体" w:eastAsia="宋体" w:hAnsi="宋体" w:cs="微软雅黑"/>
          <w:szCs w:val="21"/>
        </w:rPr>
        <w:t>工业</w:t>
      </w:r>
      <w:r>
        <w:rPr>
          <w:rFonts w:ascii="宋体" w:eastAsia="宋体" w:hAnsi="宋体" w:cs="微软雅黑" w:hint="eastAsia"/>
          <w:szCs w:val="21"/>
        </w:rPr>
        <w:t>工程</w:t>
      </w:r>
      <w:r>
        <w:rPr>
          <w:rFonts w:ascii="宋体" w:eastAsia="宋体" w:hAnsi="宋体" w:cs="微软雅黑"/>
          <w:szCs w:val="21"/>
        </w:rPr>
        <w:t>专业</w:t>
      </w:r>
      <w:r>
        <w:rPr>
          <w:rFonts w:ascii="宋体" w:eastAsia="宋体" w:hAnsi="宋体" w:cs="微软雅黑" w:hint="eastAsia"/>
          <w:szCs w:val="21"/>
        </w:rPr>
        <w:t>为双学位的学生须具备</w:t>
      </w:r>
      <w:r>
        <w:rPr>
          <w:rFonts w:ascii="宋体" w:eastAsia="宋体" w:hAnsi="宋体" w:cs="微软雅黑"/>
          <w:szCs w:val="21"/>
        </w:rPr>
        <w:t>必要的数学、自然科学的基础理论，并按照本培养方案修完全部</w:t>
      </w:r>
      <w:r>
        <w:rPr>
          <w:rFonts w:ascii="宋体" w:eastAsia="宋体" w:hAnsi="宋体" w:cs="微软雅黑" w:hint="eastAsia"/>
          <w:szCs w:val="21"/>
        </w:rPr>
        <w:t>课程</w:t>
      </w:r>
      <w:r>
        <w:rPr>
          <w:rFonts w:ascii="宋体" w:eastAsia="宋体" w:hAnsi="宋体" w:cs="微软雅黑"/>
          <w:szCs w:val="21"/>
        </w:rPr>
        <w:t>，</w:t>
      </w:r>
      <w:r>
        <w:rPr>
          <w:rFonts w:ascii="宋体" w:eastAsia="宋体" w:hAnsi="宋体" w:cs="微软雅黑" w:hint="eastAsia"/>
          <w:szCs w:val="21"/>
        </w:rPr>
        <w:t>其中对</w:t>
      </w:r>
      <w:r>
        <w:rPr>
          <w:rFonts w:ascii="宋体" w:eastAsia="宋体" w:hAnsi="宋体" w:cs="微软雅黑"/>
          <w:szCs w:val="21"/>
        </w:rPr>
        <w:t>第一学位专业已修过的课程，可以申请替代，</w:t>
      </w:r>
      <w:r>
        <w:rPr>
          <w:rFonts w:ascii="宋体" w:eastAsia="宋体" w:hAnsi="宋体" w:cs="微软雅黑" w:hint="eastAsia"/>
          <w:szCs w:val="21"/>
        </w:rPr>
        <w:t>替代</w:t>
      </w:r>
      <w:r>
        <w:rPr>
          <w:rFonts w:ascii="宋体" w:eastAsia="宋体" w:hAnsi="宋体" w:cs="微软雅黑"/>
          <w:szCs w:val="21"/>
        </w:rPr>
        <w:t>课程的总学分不能超过本培养方案的</w:t>
      </w:r>
      <w:r>
        <w:rPr>
          <w:rFonts w:ascii="宋体" w:eastAsia="宋体" w:hAnsi="宋体" w:cs="微软雅黑" w:hint="eastAsia"/>
          <w:szCs w:val="21"/>
        </w:rPr>
        <w:t>20</w:t>
      </w:r>
      <w:r>
        <w:rPr>
          <w:rFonts w:ascii="宋体" w:eastAsia="宋体" w:hAnsi="宋体" w:cs="微软雅黑"/>
          <w:szCs w:val="21"/>
        </w:rPr>
        <w:t>%</w:t>
      </w:r>
      <w:r>
        <w:rPr>
          <w:rFonts w:ascii="宋体" w:eastAsia="宋体" w:hAnsi="宋体" w:cs="微软雅黑" w:hint="eastAsia"/>
          <w:szCs w:val="21"/>
        </w:rPr>
        <w:t>。修完</w:t>
      </w:r>
      <w:r>
        <w:rPr>
          <w:rFonts w:ascii="宋体" w:eastAsia="宋体" w:hAnsi="宋体" w:cs="微软雅黑"/>
          <w:szCs w:val="21"/>
        </w:rPr>
        <w:t>全部课程</w:t>
      </w:r>
      <w:r>
        <w:rPr>
          <w:rFonts w:ascii="宋体" w:eastAsia="宋体" w:hAnsi="宋体" w:cs="微软雅黑" w:hint="eastAsia"/>
          <w:szCs w:val="21"/>
        </w:rPr>
        <w:t>并</w:t>
      </w:r>
      <w:r>
        <w:rPr>
          <w:rFonts w:ascii="宋体" w:eastAsia="宋体" w:hAnsi="宋体" w:cs="微软雅黑"/>
          <w:szCs w:val="21"/>
        </w:rPr>
        <w:t>通过毕业设计环节</w:t>
      </w:r>
      <w:r>
        <w:rPr>
          <w:rFonts w:ascii="宋体" w:eastAsia="宋体" w:hAnsi="宋体" w:cs="微软雅黑" w:hint="eastAsia"/>
          <w:szCs w:val="21"/>
        </w:rPr>
        <w:t>，符合《西南交通大学学士学位授予工作细则》和《西南交通大学本科生辅修与双学位管理办法》规定者，方可授予工业</w:t>
      </w:r>
      <w:r>
        <w:rPr>
          <w:rFonts w:ascii="宋体" w:eastAsia="宋体" w:hAnsi="宋体" w:cs="微软雅黑"/>
          <w:szCs w:val="21"/>
        </w:rPr>
        <w:t>工程</w:t>
      </w:r>
      <w:r>
        <w:rPr>
          <w:rFonts w:ascii="宋体" w:eastAsia="宋体" w:hAnsi="宋体" w:cs="微软雅黑" w:hint="eastAsia"/>
          <w:szCs w:val="21"/>
        </w:rPr>
        <w:t>专业双学位证书。</w:t>
      </w:r>
    </w:p>
    <w:p w:rsidR="00F00688" w:rsidRDefault="007B2FC3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四、学位</w:t>
      </w:r>
    </w:p>
    <w:p w:rsidR="00F00688" w:rsidRDefault="007B2FC3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微软雅黑" w:hint="eastAsia"/>
          <w:szCs w:val="21"/>
        </w:rPr>
        <w:t>学位：管理学学士</w:t>
      </w:r>
    </w:p>
    <w:p w:rsidR="00F00688" w:rsidRDefault="007B2FC3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五、课程设置</w:t>
      </w:r>
    </w:p>
    <w:tbl>
      <w:tblPr>
        <w:tblStyle w:val="a5"/>
        <w:tblW w:w="8123" w:type="dxa"/>
        <w:jc w:val="center"/>
        <w:tblLayout w:type="fixed"/>
        <w:tblLook w:val="04A0" w:firstRow="1" w:lastRow="0" w:firstColumn="1" w:lastColumn="0" w:noHBand="0" w:noVBand="1"/>
      </w:tblPr>
      <w:tblGrid>
        <w:gridCol w:w="1610"/>
        <w:gridCol w:w="1952"/>
        <w:gridCol w:w="1434"/>
        <w:gridCol w:w="895"/>
        <w:gridCol w:w="1116"/>
        <w:gridCol w:w="1116"/>
      </w:tblGrid>
      <w:tr w:rsidR="00F00688">
        <w:trPr>
          <w:trHeight w:val="340"/>
          <w:jc w:val="center"/>
        </w:trPr>
        <w:tc>
          <w:tcPr>
            <w:tcW w:w="1610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F00688">
        <w:trPr>
          <w:trHeight w:val="460"/>
          <w:jc w:val="center"/>
        </w:trPr>
        <w:tc>
          <w:tcPr>
            <w:tcW w:w="1610" w:type="dxa"/>
            <w:vMerge w:val="restart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F00688" w:rsidRDefault="007B2FC3" w:rsidP="00594166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管理学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原理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经管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F00688" w:rsidRDefault="00F006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经管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F00688" w:rsidRDefault="007B2FC3" w:rsidP="00594166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经管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F00688" w:rsidRDefault="00F006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工业工程基础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F00688" w:rsidRDefault="00F006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系统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工程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F00688" w:rsidRDefault="00F006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制造技术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春季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F00688" w:rsidRDefault="00F006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生产规划与控制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F00688" w:rsidRDefault="00F006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工程经济学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春季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F00688" w:rsidRDefault="007B2FC3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F00688" w:rsidRDefault="007B2FC3" w:rsidP="00594166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工效学与作业设计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F00688" w:rsidRDefault="00F00688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质量管理与可靠性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F00688" w:rsidRDefault="00F00688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人因学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F00688" w:rsidRDefault="00F00688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物流分析与设施规划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F00688" w:rsidRDefault="00F00688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先进制造系统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F00688" w:rsidRDefault="00F00688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供应链管理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春季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F00688" w:rsidRDefault="00F00688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F00688" w:rsidRDefault="007B2FC3">
            <w:pPr>
              <w:ind w:left="90" w:hangingChars="50" w:hanging="90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实践环节</w:t>
            </w:r>
          </w:p>
          <w:p w:rsidR="00F00688" w:rsidRDefault="007B2FC3">
            <w:pPr>
              <w:ind w:left="90" w:hangingChars="50" w:hanging="90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分</w:t>
            </w: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综合课程设计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短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F00688" w:rsidRDefault="00F00688">
            <w:pPr>
              <w:ind w:left="90" w:hangingChars="50" w:hanging="90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专业认识实习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短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1610" w:type="dxa"/>
            <w:vAlign w:val="center"/>
          </w:tcPr>
          <w:p w:rsidR="00F00688" w:rsidRDefault="007B2FC3">
            <w:pPr>
              <w:ind w:left="90" w:hangingChars="50" w:hanging="90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毕业设计（论文）</w:t>
            </w:r>
          </w:p>
          <w:p w:rsidR="00F00688" w:rsidRDefault="007B2FC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分</w:t>
            </w:r>
          </w:p>
        </w:tc>
        <w:tc>
          <w:tcPr>
            <w:tcW w:w="1952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毕业设计（论文）</w:t>
            </w:r>
          </w:p>
        </w:tc>
        <w:tc>
          <w:tcPr>
            <w:tcW w:w="1434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16" w:type="dxa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F00688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F00688" w:rsidRDefault="007B2FC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57</w:t>
            </w:r>
          </w:p>
        </w:tc>
      </w:tr>
    </w:tbl>
    <w:p w:rsidR="00F00688" w:rsidRDefault="00F00688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F00688" w:rsidRDefault="00F00688" w:rsidP="00594166">
      <w:pPr>
        <w:pStyle w:val="1"/>
        <w:widowControl/>
        <w:snapToGrid w:val="0"/>
        <w:spacing w:line="360" w:lineRule="auto"/>
        <w:ind w:firstLineChars="0"/>
        <w:rPr>
          <w:rFonts w:ascii="宋体" w:eastAsia="宋体" w:hAnsi="宋体"/>
          <w:szCs w:val="21"/>
        </w:rPr>
      </w:pPr>
      <w:bookmarkStart w:id="0" w:name="_GoBack"/>
      <w:bookmarkEnd w:id="0"/>
    </w:p>
    <w:sectPr w:rsidR="00F00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C3" w:rsidRDefault="007B2FC3" w:rsidP="00594166">
      <w:r>
        <w:separator/>
      </w:r>
    </w:p>
  </w:endnote>
  <w:endnote w:type="continuationSeparator" w:id="0">
    <w:p w:rsidR="007B2FC3" w:rsidRDefault="007B2FC3" w:rsidP="0059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C3" w:rsidRDefault="007B2FC3" w:rsidP="00594166">
      <w:r>
        <w:separator/>
      </w:r>
    </w:p>
  </w:footnote>
  <w:footnote w:type="continuationSeparator" w:id="0">
    <w:p w:rsidR="007B2FC3" w:rsidRDefault="007B2FC3" w:rsidP="0059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E05"/>
    <w:multiLevelType w:val="multilevel"/>
    <w:tmpl w:val="0EE16E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A"/>
    <w:rsid w:val="00027185"/>
    <w:rsid w:val="00055AF8"/>
    <w:rsid w:val="001813B1"/>
    <w:rsid w:val="00197DCB"/>
    <w:rsid w:val="001E2156"/>
    <w:rsid w:val="001E3AC3"/>
    <w:rsid w:val="00257ADA"/>
    <w:rsid w:val="0027712C"/>
    <w:rsid w:val="00286B91"/>
    <w:rsid w:val="00325BA4"/>
    <w:rsid w:val="003321BE"/>
    <w:rsid w:val="003865D8"/>
    <w:rsid w:val="003A10DB"/>
    <w:rsid w:val="003B5D12"/>
    <w:rsid w:val="00496C5A"/>
    <w:rsid w:val="004D647B"/>
    <w:rsid w:val="005277A7"/>
    <w:rsid w:val="00552796"/>
    <w:rsid w:val="00594166"/>
    <w:rsid w:val="006238DA"/>
    <w:rsid w:val="00633DB2"/>
    <w:rsid w:val="00637905"/>
    <w:rsid w:val="0069410E"/>
    <w:rsid w:val="006F197F"/>
    <w:rsid w:val="007B2FC3"/>
    <w:rsid w:val="00830936"/>
    <w:rsid w:val="008E6FC1"/>
    <w:rsid w:val="00981382"/>
    <w:rsid w:val="00985F6C"/>
    <w:rsid w:val="009B7E1F"/>
    <w:rsid w:val="009C49C9"/>
    <w:rsid w:val="009D4205"/>
    <w:rsid w:val="00AA7A28"/>
    <w:rsid w:val="00AB0FBA"/>
    <w:rsid w:val="00AF757C"/>
    <w:rsid w:val="00B20EDE"/>
    <w:rsid w:val="00C0168A"/>
    <w:rsid w:val="00C13D97"/>
    <w:rsid w:val="00C5705B"/>
    <w:rsid w:val="00C71864"/>
    <w:rsid w:val="00C828C6"/>
    <w:rsid w:val="00C87F53"/>
    <w:rsid w:val="00D2562D"/>
    <w:rsid w:val="00D46F68"/>
    <w:rsid w:val="00E15974"/>
    <w:rsid w:val="00E36BE4"/>
    <w:rsid w:val="00E64A71"/>
    <w:rsid w:val="00E84953"/>
    <w:rsid w:val="00EC14A4"/>
    <w:rsid w:val="00F00688"/>
    <w:rsid w:val="00F01BE0"/>
    <w:rsid w:val="00FD2251"/>
    <w:rsid w:val="00FF7E10"/>
    <w:rsid w:val="3C0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2017-10-28T15:47:00Z</dcterms:created>
  <dcterms:modified xsi:type="dcterms:W3CDTF">2017-10-28T15:47:00Z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