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6F" w:rsidRPr="003F6D73" w:rsidRDefault="00582F6F" w:rsidP="00582F6F">
      <w:pPr>
        <w:spacing w:line="360" w:lineRule="auto"/>
        <w:jc w:val="center"/>
        <w:outlineLvl w:val="2"/>
        <w:rPr>
          <w:rFonts w:eastAsia="黑体"/>
          <w:b/>
          <w:bCs/>
          <w:sz w:val="28"/>
          <w:szCs w:val="28"/>
        </w:rPr>
      </w:pPr>
      <w:bookmarkStart w:id="0" w:name="_Toc374691821"/>
      <w:r w:rsidRPr="003F6D73">
        <w:rPr>
          <w:rFonts w:eastAsia="黑体" w:hAnsi="黑体"/>
          <w:b/>
          <w:bCs/>
          <w:sz w:val="28"/>
          <w:szCs w:val="28"/>
        </w:rPr>
        <w:t>西南交通大学茅以升学院学生分流与增选管理办法</w:t>
      </w:r>
      <w:bookmarkEnd w:id="0"/>
    </w:p>
    <w:p w:rsidR="00582F6F" w:rsidRPr="003F6D73" w:rsidRDefault="00582F6F" w:rsidP="00582F6F">
      <w:pPr>
        <w:spacing w:afterLines="100" w:after="312" w:line="360" w:lineRule="auto"/>
        <w:jc w:val="center"/>
        <w:outlineLvl w:val="2"/>
        <w:rPr>
          <w:b/>
          <w:bCs/>
          <w:sz w:val="28"/>
          <w:szCs w:val="28"/>
        </w:rPr>
      </w:pPr>
      <w:bookmarkStart w:id="1" w:name="_Toc373854111"/>
      <w:bookmarkStart w:id="2" w:name="_Toc374691822"/>
      <w:r w:rsidRPr="003F6D73">
        <w:rPr>
          <w:rFonts w:hAnsi="宋体"/>
          <w:b/>
          <w:bCs/>
          <w:sz w:val="28"/>
          <w:szCs w:val="28"/>
        </w:rPr>
        <w:t>（</w:t>
      </w:r>
      <w:r w:rsidRPr="003F6D73">
        <w:rPr>
          <w:b/>
          <w:bCs/>
          <w:sz w:val="28"/>
          <w:szCs w:val="28"/>
        </w:rPr>
        <w:t>2013</w:t>
      </w:r>
      <w:r w:rsidRPr="003F6D73">
        <w:rPr>
          <w:rFonts w:hAnsi="宋体"/>
          <w:b/>
          <w:bCs/>
          <w:sz w:val="28"/>
          <w:szCs w:val="28"/>
        </w:rPr>
        <w:t>级版）</w:t>
      </w:r>
      <w:bookmarkEnd w:id="1"/>
      <w:bookmarkEnd w:id="2"/>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为实现拔尖创新人才培养目标，实现因材施教，调动学生学习积极性与主动性，保证人才培养质量，决定在茅以升学院实行滚动机制。对达不到要求者转入普通班学习，对普通班成绩优异者，可增选至茅以升学院学习。具体办法如下：</w:t>
      </w:r>
    </w:p>
    <w:p w:rsidR="00582F6F" w:rsidRPr="00866CEC" w:rsidRDefault="00582F6F" w:rsidP="00582F6F">
      <w:pPr>
        <w:pStyle w:val="2"/>
        <w:spacing w:before="0" w:after="0" w:line="360" w:lineRule="auto"/>
        <w:jc w:val="center"/>
        <w:rPr>
          <w:rFonts w:ascii="宋体" w:eastAsia="宋体" w:hAnsi="宋体"/>
          <w:kern w:val="0"/>
          <w:sz w:val="21"/>
          <w:szCs w:val="21"/>
        </w:rPr>
      </w:pPr>
      <w:bookmarkStart w:id="3" w:name="_Toc373854112"/>
      <w:bookmarkStart w:id="4" w:name="_Toc374691823"/>
      <w:r w:rsidRPr="00866CEC">
        <w:rPr>
          <w:rFonts w:ascii="宋体" w:eastAsia="宋体" w:hAnsi="宋体" w:hint="eastAsia"/>
          <w:kern w:val="0"/>
          <w:sz w:val="21"/>
          <w:szCs w:val="21"/>
        </w:rPr>
        <w:t>第一章 学生分流办法</w:t>
      </w:r>
      <w:bookmarkEnd w:id="3"/>
      <w:bookmarkEnd w:id="4"/>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第一条  茅以升学院学生转出在第二学期初、第三学期初、第四学期初、第五学期初进行。</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 xml:space="preserve">第二条  具有下列情况之一者，转出至普通班学习： </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1. 由于自身原因，主动申请到普通班学习者。</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2. 凡违反国家法律法规、违反学校纪律并受记过以上（含记过）处分者或有学术不端行为者，退出茅以升学院同时按相关法律法规处理。</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3. 第二学期未通过全国大学外语四级考试者。</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4. 一学期有两门必修课程正考不及格者或有一门课程经补考仍不及格者；累积有三门主干课程正考不及格者。</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5. 实行学业红黄牌制度：学期必修课正考学</w:t>
      </w:r>
      <w:proofErr w:type="gramStart"/>
      <w:r w:rsidRPr="00AE1A99">
        <w:rPr>
          <w:rFonts w:ascii="宋体" w:hAnsi="宋体" w:cs="宋体" w:hint="eastAsia"/>
          <w:szCs w:val="21"/>
        </w:rPr>
        <w:t>分绩点</w:t>
      </w:r>
      <w:proofErr w:type="gramEnd"/>
      <w:r w:rsidRPr="00AE1A99">
        <w:rPr>
          <w:rFonts w:ascii="宋体" w:hAnsi="宋体" w:cs="宋体" w:hint="eastAsia"/>
          <w:szCs w:val="21"/>
        </w:rPr>
        <w:t>低于2.3者，将给予红牌；学期必修课正考学</w:t>
      </w:r>
      <w:proofErr w:type="gramStart"/>
      <w:r w:rsidRPr="00AE1A99">
        <w:rPr>
          <w:rFonts w:ascii="宋体" w:hAnsi="宋体" w:cs="宋体" w:hint="eastAsia"/>
          <w:szCs w:val="21"/>
        </w:rPr>
        <w:t>分绩点</w:t>
      </w:r>
      <w:proofErr w:type="gramEnd"/>
      <w:r w:rsidRPr="00AE1A99">
        <w:rPr>
          <w:rFonts w:ascii="宋体" w:hAnsi="宋体" w:cs="宋体" w:hint="eastAsia"/>
          <w:szCs w:val="21"/>
        </w:rPr>
        <w:t>低于2.8者，将给予黄牌，累积两张黄牌将给予红牌；获得红牌者将退出茅以升学院。</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6. 实行末位待定制度：为了吸引最优秀的同学，本着专业容量相对稳定的原则，根据申请增选学生的数量，茅以升学院排名靠后的相应数量学生作为待定（最多为班级容量的30%），与增选同学一起，由专家组进行决定。</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第三条 对有上述第二条相关退出条件的情况者，如在校期间有大赛获奖、学术论文、发明专利等取得重大成果，可向茅以升学院提出特别申请，由专家组进行最终裁定。</w:t>
      </w:r>
    </w:p>
    <w:p w:rsidR="00582F6F" w:rsidRPr="00866CEC" w:rsidRDefault="00582F6F" w:rsidP="00582F6F">
      <w:pPr>
        <w:pStyle w:val="2"/>
        <w:spacing w:before="0" w:after="0" w:line="360" w:lineRule="auto"/>
        <w:jc w:val="center"/>
        <w:rPr>
          <w:rFonts w:ascii="宋体" w:eastAsia="宋体" w:hAnsi="宋体"/>
          <w:kern w:val="0"/>
          <w:sz w:val="21"/>
          <w:szCs w:val="21"/>
        </w:rPr>
      </w:pPr>
      <w:bookmarkStart w:id="5" w:name="_Toc373854113"/>
      <w:bookmarkStart w:id="6" w:name="_Toc374691824"/>
      <w:r w:rsidRPr="00866CEC">
        <w:rPr>
          <w:rFonts w:ascii="宋体" w:eastAsia="宋体" w:hAnsi="宋体" w:hint="eastAsia"/>
          <w:kern w:val="0"/>
          <w:sz w:val="21"/>
          <w:szCs w:val="21"/>
        </w:rPr>
        <w:t>第二章 学生增选办法</w:t>
      </w:r>
      <w:bookmarkEnd w:id="5"/>
      <w:bookmarkEnd w:id="6"/>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第四条 加入茅以升学院办学的普通班的学生，可以在第二学期初、第三学期初、第四学期</w:t>
      </w:r>
      <w:proofErr w:type="gramStart"/>
      <w:r w:rsidRPr="00AE1A99">
        <w:rPr>
          <w:rFonts w:ascii="宋体" w:hAnsi="宋体" w:cs="宋体" w:hint="eastAsia"/>
          <w:szCs w:val="21"/>
        </w:rPr>
        <w:t>初申请</w:t>
      </w:r>
      <w:proofErr w:type="gramEnd"/>
      <w:r w:rsidRPr="00AE1A99">
        <w:rPr>
          <w:rFonts w:ascii="宋体" w:hAnsi="宋体" w:cs="宋体" w:hint="eastAsia"/>
          <w:szCs w:val="21"/>
        </w:rPr>
        <w:t>增选进入茅以升学院学习。</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第五条  符合以下所有条件可申请进入茅以升学院：</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1. 在校期间无违法</w:t>
      </w:r>
      <w:proofErr w:type="gramStart"/>
      <w:r w:rsidRPr="00AE1A99">
        <w:rPr>
          <w:rFonts w:ascii="宋体" w:hAnsi="宋体" w:cs="宋体" w:hint="eastAsia"/>
          <w:szCs w:val="21"/>
        </w:rPr>
        <w:t>律法规</w:t>
      </w:r>
      <w:proofErr w:type="gramEnd"/>
      <w:r w:rsidRPr="00AE1A99">
        <w:rPr>
          <w:rFonts w:ascii="宋体" w:hAnsi="宋体" w:cs="宋体" w:hint="eastAsia"/>
          <w:szCs w:val="21"/>
        </w:rPr>
        <w:t>及学校纪律。</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lastRenderedPageBreak/>
        <w:t>2. 主干课程平均分85分以上。</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3. 所有课程均按培养计划一次性修过，无补考等。</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第六条 对于不符合上述条件，但在校期间有大赛获奖、学术论文、发明专利等重大成果者，可向茅以升学院提出特别申请，由专家组进行最终裁定。</w:t>
      </w:r>
    </w:p>
    <w:p w:rsidR="00582F6F" w:rsidRPr="00866CEC" w:rsidRDefault="00582F6F" w:rsidP="00582F6F">
      <w:pPr>
        <w:pStyle w:val="2"/>
        <w:spacing w:before="0" w:after="0" w:line="360" w:lineRule="auto"/>
        <w:jc w:val="center"/>
        <w:rPr>
          <w:rFonts w:ascii="宋体" w:eastAsia="宋体" w:hAnsi="宋体"/>
          <w:kern w:val="0"/>
          <w:sz w:val="21"/>
          <w:szCs w:val="21"/>
        </w:rPr>
      </w:pPr>
      <w:bookmarkStart w:id="7" w:name="_Toc373854114"/>
      <w:bookmarkStart w:id="8" w:name="_Toc374691825"/>
      <w:r w:rsidRPr="00866CEC">
        <w:rPr>
          <w:rFonts w:ascii="宋体" w:eastAsia="宋体" w:hAnsi="宋体" w:hint="eastAsia"/>
          <w:kern w:val="0"/>
          <w:sz w:val="21"/>
          <w:szCs w:val="21"/>
        </w:rPr>
        <w:t>第三章 实施程序</w:t>
      </w:r>
      <w:bookmarkEnd w:id="7"/>
      <w:bookmarkEnd w:id="8"/>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第七条 学生分流、增选由茅以升学</w:t>
      </w:r>
      <w:proofErr w:type="gramStart"/>
      <w:r w:rsidRPr="00AE1A99">
        <w:rPr>
          <w:rFonts w:ascii="宋体" w:hAnsi="宋体" w:cs="宋体" w:hint="eastAsia"/>
          <w:szCs w:val="21"/>
        </w:rPr>
        <w:t>院协调</w:t>
      </w:r>
      <w:proofErr w:type="gramEnd"/>
      <w:r w:rsidRPr="00AE1A99">
        <w:rPr>
          <w:rFonts w:ascii="宋体" w:hAnsi="宋体" w:cs="宋体" w:hint="eastAsia"/>
          <w:szCs w:val="21"/>
        </w:rPr>
        <w:t>专业学院、教务处同步处理。</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第八条 学生分流程序：</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1. 各专业学院根据本文件相关条款，在学期开学第一周内将拟分流学生情况提交茅以升学院。</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2. 茅以升学院汇总各专业学院数据，报主管校长批准后报教务处做学籍处理；专业学院通知学生及家长，办理有关手续。</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3. 学生专业选择：学生将</w:t>
      </w:r>
      <w:proofErr w:type="gramStart"/>
      <w:r w:rsidRPr="00AE1A99">
        <w:rPr>
          <w:rFonts w:ascii="宋体" w:hAnsi="宋体" w:cs="宋体" w:hint="eastAsia"/>
          <w:szCs w:val="21"/>
        </w:rPr>
        <w:t>回相应</w:t>
      </w:r>
      <w:proofErr w:type="gramEnd"/>
      <w:r w:rsidRPr="00AE1A99">
        <w:rPr>
          <w:rFonts w:ascii="宋体" w:hAnsi="宋体" w:cs="宋体" w:hint="eastAsia"/>
          <w:szCs w:val="21"/>
        </w:rPr>
        <w:t>专业的普通班。</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4. 学生课程处理：根据课程衔接情况，经教务处进行课程替代处理后，根据情况编入相应的年级学习。</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第九条 学生增选程序：</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1. 根据本文件相关条款，符合条件的学生在规定学期开学前一周向本学院教务管理办公室提交申</w:t>
      </w:r>
      <w:bookmarkStart w:id="9" w:name="_GoBack"/>
      <w:bookmarkEnd w:id="9"/>
      <w:r w:rsidRPr="00AE1A99">
        <w:rPr>
          <w:rFonts w:ascii="宋体" w:hAnsi="宋体" w:cs="宋体" w:hint="eastAsia"/>
          <w:szCs w:val="21"/>
        </w:rPr>
        <w:t>请，经学院专家组审核推荐后报送至茅以升学院。</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2. 茅以升学院汇总各专业学院数据后，经专家组面试后确定最终增选名单，报主管校长批准后报教务处做学籍处理；专业学院通知学生及家长，办理有关手续。</w:t>
      </w:r>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3. 学生课程处理：根据课程衔接情况，各专业学院根据情况进行课程替代，报教务处进行处理，根据情况编入相应的年级学习。</w:t>
      </w:r>
    </w:p>
    <w:p w:rsidR="00582F6F" w:rsidRPr="00866CEC" w:rsidRDefault="00582F6F" w:rsidP="00582F6F">
      <w:pPr>
        <w:pStyle w:val="2"/>
        <w:spacing w:before="0" w:after="0" w:line="360" w:lineRule="auto"/>
        <w:jc w:val="center"/>
        <w:rPr>
          <w:rFonts w:ascii="宋体" w:eastAsia="宋体" w:hAnsi="宋体"/>
          <w:kern w:val="0"/>
          <w:sz w:val="21"/>
          <w:szCs w:val="21"/>
        </w:rPr>
      </w:pPr>
      <w:bookmarkStart w:id="10" w:name="_Toc373854115"/>
      <w:bookmarkStart w:id="11" w:name="_Toc374691826"/>
      <w:r w:rsidRPr="00866CEC">
        <w:rPr>
          <w:rFonts w:ascii="宋体" w:eastAsia="宋体" w:hAnsi="宋体" w:hint="eastAsia"/>
          <w:kern w:val="0"/>
          <w:sz w:val="21"/>
          <w:szCs w:val="21"/>
        </w:rPr>
        <w:t>第四章 附则</w:t>
      </w:r>
      <w:bookmarkEnd w:id="10"/>
      <w:bookmarkEnd w:id="11"/>
    </w:p>
    <w:p w:rsidR="00582F6F" w:rsidRPr="00AE1A99" w:rsidRDefault="00582F6F" w:rsidP="00582F6F">
      <w:pPr>
        <w:spacing w:line="360" w:lineRule="auto"/>
        <w:ind w:firstLine="480"/>
        <w:rPr>
          <w:rFonts w:ascii="宋体" w:hAnsi="宋体" w:cs="宋体"/>
          <w:szCs w:val="21"/>
        </w:rPr>
      </w:pPr>
      <w:r w:rsidRPr="00AE1A99">
        <w:rPr>
          <w:rFonts w:ascii="宋体" w:hAnsi="宋体" w:cs="宋体" w:hint="eastAsia"/>
          <w:szCs w:val="21"/>
        </w:rPr>
        <w:t>第十条 本办法相关条款为最低要求，各专业学院可根据自身情况确定相应标准，但要在茅以升学院备案。</w:t>
      </w:r>
    </w:p>
    <w:p w:rsidR="00582F6F" w:rsidRPr="00AE1A99" w:rsidRDefault="00582F6F" w:rsidP="00582F6F">
      <w:pPr>
        <w:ind w:firstLineChars="200" w:firstLine="420"/>
        <w:rPr>
          <w:szCs w:val="21"/>
        </w:rPr>
      </w:pPr>
      <w:r w:rsidRPr="00AE1A99">
        <w:rPr>
          <w:rFonts w:ascii="宋体" w:hAnsi="宋体" w:cs="宋体" w:hint="eastAsia"/>
          <w:szCs w:val="21"/>
        </w:rPr>
        <w:t>第十一条 本办法由教务处、茅以升学院负责解释，自公布之日起实行。</w:t>
      </w:r>
    </w:p>
    <w:p w:rsidR="00537589" w:rsidRPr="00582F6F" w:rsidRDefault="00537589"/>
    <w:sectPr w:rsidR="00537589" w:rsidRPr="00582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6F" w:rsidRDefault="00582F6F" w:rsidP="00582F6F">
      <w:r>
        <w:separator/>
      </w:r>
    </w:p>
  </w:endnote>
  <w:endnote w:type="continuationSeparator" w:id="0">
    <w:p w:rsidR="00582F6F" w:rsidRDefault="00582F6F" w:rsidP="0058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6F" w:rsidRDefault="00582F6F" w:rsidP="00582F6F">
      <w:r>
        <w:separator/>
      </w:r>
    </w:p>
  </w:footnote>
  <w:footnote w:type="continuationSeparator" w:id="0">
    <w:p w:rsidR="00582F6F" w:rsidRDefault="00582F6F" w:rsidP="0058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9C"/>
    <w:rsid w:val="001F3A9C"/>
    <w:rsid w:val="00537589"/>
    <w:rsid w:val="0058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6F"/>
    <w:pPr>
      <w:widowControl w:val="0"/>
      <w:jc w:val="both"/>
    </w:pPr>
    <w:rPr>
      <w:rFonts w:ascii="Times New Roman" w:eastAsia="宋体" w:hAnsi="Times New Roman" w:cs="Times New Roman"/>
      <w:szCs w:val="24"/>
    </w:rPr>
  </w:style>
  <w:style w:type="paragraph" w:styleId="2">
    <w:name w:val="heading 2"/>
    <w:basedOn w:val="a"/>
    <w:next w:val="a"/>
    <w:link w:val="2Char"/>
    <w:qFormat/>
    <w:rsid w:val="00582F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F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F6F"/>
    <w:rPr>
      <w:sz w:val="18"/>
      <w:szCs w:val="18"/>
    </w:rPr>
  </w:style>
  <w:style w:type="paragraph" w:styleId="a4">
    <w:name w:val="footer"/>
    <w:basedOn w:val="a"/>
    <w:link w:val="Char0"/>
    <w:uiPriority w:val="99"/>
    <w:unhideWhenUsed/>
    <w:rsid w:val="00582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F6F"/>
    <w:rPr>
      <w:sz w:val="18"/>
      <w:szCs w:val="18"/>
    </w:rPr>
  </w:style>
  <w:style w:type="character" w:customStyle="1" w:styleId="2Char">
    <w:name w:val="标题 2 Char"/>
    <w:basedOn w:val="a0"/>
    <w:link w:val="2"/>
    <w:rsid w:val="00582F6F"/>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6F"/>
    <w:pPr>
      <w:widowControl w:val="0"/>
      <w:jc w:val="both"/>
    </w:pPr>
    <w:rPr>
      <w:rFonts w:ascii="Times New Roman" w:eastAsia="宋体" w:hAnsi="Times New Roman" w:cs="Times New Roman"/>
      <w:szCs w:val="24"/>
    </w:rPr>
  </w:style>
  <w:style w:type="paragraph" w:styleId="2">
    <w:name w:val="heading 2"/>
    <w:basedOn w:val="a"/>
    <w:next w:val="a"/>
    <w:link w:val="2Char"/>
    <w:qFormat/>
    <w:rsid w:val="00582F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F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F6F"/>
    <w:rPr>
      <w:sz w:val="18"/>
      <w:szCs w:val="18"/>
    </w:rPr>
  </w:style>
  <w:style w:type="paragraph" w:styleId="a4">
    <w:name w:val="footer"/>
    <w:basedOn w:val="a"/>
    <w:link w:val="Char0"/>
    <w:uiPriority w:val="99"/>
    <w:unhideWhenUsed/>
    <w:rsid w:val="00582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F6F"/>
    <w:rPr>
      <w:sz w:val="18"/>
      <w:szCs w:val="18"/>
    </w:rPr>
  </w:style>
  <w:style w:type="character" w:customStyle="1" w:styleId="2Char">
    <w:name w:val="标题 2 Char"/>
    <w:basedOn w:val="a0"/>
    <w:link w:val="2"/>
    <w:rsid w:val="00582F6F"/>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1180</Characters>
  <Application>Microsoft Office Word</Application>
  <DocSecurity>0</DocSecurity>
  <Lines>9</Lines>
  <Paragraphs>2</Paragraphs>
  <ScaleCrop>false</ScaleCrop>
  <Company>DADI</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张国正</dc:creator>
  <cp:keywords/>
  <dc:description/>
  <cp:lastModifiedBy>张国正</cp:lastModifiedBy>
  <cp:revision>3</cp:revision>
  <dcterms:created xsi:type="dcterms:W3CDTF">2014-02-21T01:43:00Z</dcterms:created>
  <dcterms:modified xsi:type="dcterms:W3CDTF">2014-02-21T01:47:00Z</dcterms:modified>
</cp:coreProperties>
</file>